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rPr>
          <w:rFonts w:ascii="Arial" w:cs="Arial" w:eastAsia="Arial" w:hAnsi="Arial"/>
          <w:b/>
          <w:bCs/>
          <w:color w:val="1A1A1A"/>
          <w:sz w:val="34"/>
          <w:szCs w:val="34"/>
        </w:rPr>
        <w:t xml:space="preserve">Vertrag über eine Auftragsverarbeitung</w:t>
      </w:r>
    </w:p>
    <w:p>
      <w:pPr>
        <w:pBdr>
          <w:bottom w:val="single" w:color="BFBFBF" w:sz="6" w:space="8"/>
        </w:pBdr>
        <w:spacing w:after="360"/>
      </w:pPr>
      <w:r>
        <w:rPr>
          <w:rFonts w:ascii="Arial" w:cs="Arial" w:eastAsia="Arial" w:hAnsi="Arial"/>
          <w:color w:val="5A5A5A"/>
          <w:sz w:val="22"/>
          <w:szCs w:val="22"/>
        </w:rPr>
        <w:t xml:space="preserve">nach Art. 28 der Datenschutz-Grundverordnung (DSGVO) für den S1-Audit</w:t>
      </w:r>
    </w:p>
    <w:p>
      <w:pPr>
        <w:spacing w:after="120" w:before="0" w:line="276"/>
        <w:jc w:val="left"/>
      </w:pPr>
      <w:r>
        <w:rPr>
          <w:rFonts w:ascii="Arial" w:cs="Arial" w:eastAsia="Arial" w:hAnsi="Arial"/>
          <w:color w:val="1A1A1A"/>
          <w:sz w:val="20"/>
          <w:szCs w:val="20"/>
        </w:rPr>
        <w:t xml:space="preserve">zwischen</w:t>
      </w:r>
    </w:p>
    <w:p>
      <w:pPr>
        <w:spacing w:after="0" w:before="0" w:line="276"/>
        <w:jc w:val="left"/>
      </w:pPr>
      <w:r>
        <w:rPr>
          <w:rFonts w:ascii="Arial" w:cs="Arial" w:eastAsia="Arial" w:hAnsi="Arial"/>
          <w:color w:val="1A1A1A"/>
          <w:sz w:val="20"/>
          <w:szCs w:val="20"/>
          <w:highlight w:val="yellow"/>
          <w:highlightCs w:val="yellow"/>
        </w:rPr>
        <w:t xml:space="preserve">[Firma des Auftraggebers]</w:t>
      </w:r>
    </w:p>
    <w:p>
      <w:pPr>
        <w:spacing w:after="0" w:before="0" w:line="276"/>
        <w:jc w:val="left"/>
      </w:pPr>
      <w:r>
        <w:rPr>
          <w:rFonts w:ascii="Arial" w:cs="Arial" w:eastAsia="Arial" w:hAnsi="Arial"/>
          <w:color w:val="1A1A1A"/>
          <w:sz w:val="20"/>
          <w:szCs w:val="20"/>
          <w:highlight w:val="yellow"/>
          <w:highlightCs w:val="yellow"/>
        </w:rPr>
        <w:t xml:space="preserve">[Straße Hausnummer, PLZ Ort]</w:t>
      </w:r>
    </w:p>
    <w:p>
      <w:pPr>
        <w:spacing w:after="0" w:before="0" w:line="276"/>
        <w:jc w:val="left"/>
      </w:pPr>
      <w:r>
        <w:rPr>
          <w:rFonts w:ascii="Arial" w:cs="Arial" w:eastAsia="Arial" w:hAnsi="Arial"/>
          <w:color w:val="1A1A1A"/>
          <w:sz w:val="20"/>
          <w:szCs w:val="20"/>
        </w:rPr>
        <w:t xml:space="preserve">vertreten durch </w:t>
      </w:r>
      <w:r>
        <w:rPr>
          <w:rFonts w:ascii="Arial" w:cs="Arial" w:eastAsia="Arial" w:hAnsi="Arial"/>
          <w:color w:val="1A1A1A"/>
          <w:sz w:val="20"/>
          <w:szCs w:val="20"/>
          <w:highlight w:val="yellow"/>
          <w:highlightCs w:val="yellow"/>
        </w:rPr>
        <w:t xml:space="preserve">[Name, Funktion]</w:t>
      </w:r>
    </w:p>
    <w:p>
      <w:pPr>
        <w:spacing w:after="240" w:before="0" w:line="276"/>
        <w:jc w:val="left"/>
      </w:pPr>
      <w:r>
        <w:rPr>
          <w:rFonts w:ascii="Arial" w:cs="Arial" w:eastAsia="Arial" w:hAnsi="Arial"/>
          <w:color w:val="5A5A5A"/>
          <w:sz w:val="20"/>
          <w:szCs w:val="20"/>
        </w:rPr>
        <w:t xml:space="preserve">– im Folgenden „Auftraggeber“ –</w:t>
      </w:r>
    </w:p>
    <w:p>
      <w:pPr>
        <w:spacing w:after="120" w:before="0" w:line="276"/>
        <w:jc w:val="left"/>
      </w:pPr>
      <w:r>
        <w:rPr>
          <w:rFonts w:ascii="Arial" w:cs="Arial" w:eastAsia="Arial" w:hAnsi="Arial"/>
          <w:color w:val="1A1A1A"/>
          <w:sz w:val="20"/>
          <w:szCs w:val="20"/>
        </w:rPr>
        <w:t xml:space="preserve">und</w:t>
      </w:r>
    </w:p>
    <w:p>
      <w:pPr>
        <w:spacing w:after="0" w:before="0" w:line="276"/>
        <w:jc w:val="left"/>
      </w:pPr>
      <w:r>
        <w:rPr>
          <w:rFonts w:ascii="Arial" w:cs="Arial" w:eastAsia="Arial" w:hAnsi="Arial"/>
          <w:color w:val="1A1A1A"/>
          <w:sz w:val="20"/>
          <w:szCs w:val="20"/>
        </w:rPr>
        <w:t xml:space="preserve">Arian Kabiri, AKFIN</w:t>
      </w:r>
    </w:p>
    <w:p>
      <w:pPr>
        <w:spacing w:after="0" w:before="0" w:line="276"/>
        <w:jc w:val="left"/>
      </w:pPr>
      <w:r>
        <w:rPr>
          <w:rFonts w:ascii="Arial" w:cs="Arial" w:eastAsia="Arial" w:hAnsi="Arial"/>
          <w:color w:val="1A1A1A"/>
          <w:sz w:val="20"/>
          <w:szCs w:val="20"/>
          <w:highlightCs w:val="yellow"/>
        </w:rPr>
        <w:t>Maulbeerallee 24, 13593 Berlin</w:t>
      </w:r>
    </w:p>
    <w:p>
      <w:pPr>
        <w:spacing w:after="360" w:before="0" w:line="276"/>
        <w:jc w:val="left"/>
      </w:pPr>
      <w:r>
        <w:rPr>
          <w:rFonts w:ascii="Arial" w:cs="Arial" w:eastAsia="Arial" w:hAnsi="Arial"/>
          <w:color w:val="5A5A5A"/>
          <w:sz w:val="20"/>
          <w:szCs w:val="20"/>
        </w:rPr>
        <w:t xml:space="preserve">– im Folgenden „Auftragsverarbeiter“ –</w:t>
      </w:r>
    </w:p>
    <w:p>
      <w:pPr>
        <w:pStyle w:val="Heading2"/>
        <w:keepNext/>
        <w:spacing w:after="120" w:before="280"/>
      </w:pPr>
      <w:r>
        <w:rPr>
          <w:rFonts w:ascii="Arial" w:cs="Arial" w:eastAsia="Arial" w:hAnsi="Arial"/>
          <w:b/>
          <w:bCs/>
          <w:color w:val="1A1A1A"/>
          <w:sz w:val="22"/>
          <w:szCs w:val="22"/>
        </w:rPr>
        <w:t xml:space="preserve">Präambel</w:t>
      </w:r>
    </w:p>
    <w:p>
      <w:pPr>
        <w:spacing w:after="120" w:before="0" w:line="276"/>
        <w:jc w:val="both"/>
      </w:pPr>
      <w:r>
        <w:rPr>
          <w:rFonts w:ascii="Arial" w:cs="Arial" w:eastAsia="Arial" w:hAnsi="Arial"/>
          <w:color w:val="1A1A1A"/>
          <w:sz w:val="20"/>
          <w:szCs w:val="20"/>
        </w:rPr>
        <w:t xml:space="preserve">Der Auftraggeber lässt vom Auftragsverarbeiter einen kostenlosen S1-Audit durchführen. Dabei wertet der Auftragsverarbeiter einen Ausschnitt der Eingangsrechnungen des Auftraggebers daraufhin aus, welche Skonti im untersuchten Zeitraum nicht gezogen wurden, woran das lag und welche Maßnahmen sich lohnen. Die Belege können personenbezogene Daten enthalten, die der Auftragsverarbeiter im Auftrag des Auftraggebers verarbeitet. Dieser Vertrag regelt die Pflichten der Parteien nach Art. 28 DSGVO.</w:t>
      </w:r>
    </w:p>
    <w:p>
      <w:pPr>
        <w:pStyle w:val="Heading2"/>
        <w:keepNext/>
        <w:spacing w:after="120" w:before="280"/>
      </w:pPr>
      <w:r>
        <w:rPr>
          <w:rFonts w:ascii="Arial" w:cs="Arial" w:eastAsia="Arial" w:hAnsi="Arial"/>
          <w:b/>
          <w:bCs/>
          <w:color w:val="1A1A1A"/>
          <w:sz w:val="22"/>
          <w:szCs w:val="22"/>
        </w:rPr>
        <w:t xml:space="preserve">§ 1 Gegenstand und Dauer</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(1)</w:t>
      </w:r>
      <w:r>
        <w:rPr>
          <w:rFonts w:ascii="Arial" w:cs="Arial" w:eastAsia="Arial" w:hAnsi="Arial"/>
          <w:sz w:val="20"/>
          <w:szCs w:val="20"/>
        </w:rPr>
        <w:t xml:space="preserve">	</w:t>
      </w:r>
      <w:r>
        <w:rPr>
          <w:rFonts w:ascii="Arial" w:cs="Arial" w:eastAsia="Arial" w:hAnsi="Arial"/>
          <w:color w:val="1A1A1A"/>
          <w:sz w:val="20"/>
          <w:szCs w:val="20"/>
        </w:rPr>
        <w:t xml:space="preserve">Gegenstand, Art und Zweck der Verarbeitung, die Art der personenbezogenen Daten und die Kategorien betroffener Personen ergeben sich aus Anlage 1.</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(2)</w:t>
      </w:r>
      <w:r>
        <w:rPr>
          <w:rFonts w:ascii="Arial" w:cs="Arial" w:eastAsia="Arial" w:hAnsi="Arial"/>
          <w:sz w:val="20"/>
          <w:szCs w:val="20"/>
        </w:rPr>
        <w:t xml:space="preserve">	</w:t>
      </w:r>
      <w:r>
        <w:rPr>
          <w:rFonts w:ascii="Arial" w:cs="Arial" w:eastAsia="Arial" w:hAnsi="Arial"/>
          <w:color w:val="1A1A1A"/>
          <w:sz w:val="20"/>
          <w:szCs w:val="20"/>
        </w:rPr>
        <w:t xml:space="preserve">Der Vertrag beginnt mit der Unterzeichnung durch beide Parteien. Er endet, sobald der Auftragsverarbeiter die Löschung aller personenbezogenen Daten des Auftraggebers nach § 10 bestätigt hat.</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(3)</w:t>
      </w:r>
      <w:r>
        <w:rPr>
          <w:rFonts w:ascii="Arial" w:cs="Arial" w:eastAsia="Arial" w:hAnsi="Arial"/>
          <w:sz w:val="20"/>
          <w:szCs w:val="20"/>
        </w:rPr>
        <w:t xml:space="preserve">	</w:t>
      </w:r>
      <w:r>
        <w:rPr>
          <w:rFonts w:ascii="Arial" w:cs="Arial" w:eastAsia="Arial" w:hAnsi="Arial"/>
          <w:color w:val="1A1A1A"/>
          <w:sz w:val="20"/>
          <w:szCs w:val="20"/>
        </w:rPr>
        <w:t xml:space="preserve">Der Auftraggeber kann den Audit jederzeit ohne Angabe von Gründen beenden. Der Auftragsverarbeiter löscht die Daten dann nach § 10.</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(4)</w:t>
      </w:r>
      <w:r>
        <w:rPr>
          <w:rFonts w:ascii="Arial" w:cs="Arial" w:eastAsia="Arial" w:hAnsi="Arial"/>
          <w:sz w:val="20"/>
          <w:szCs w:val="20"/>
        </w:rPr>
        <w:t xml:space="preserve">	</w:t>
      </w:r>
      <w:r>
        <w:rPr>
          <w:rFonts w:ascii="Arial" w:cs="Arial" w:eastAsia="Arial" w:hAnsi="Arial"/>
          <w:color w:val="1A1A1A"/>
          <w:sz w:val="20"/>
          <w:szCs w:val="20"/>
        </w:rPr>
        <w:t xml:space="preserve">Dieser Vertrag gilt nur für den Audit. Für eine spätere Nutzung der AKFIN-Software schließen die Parteien einen gesonderten Vertrag.</w:t>
      </w:r>
    </w:p>
    <w:p>
      <w:pPr>
        <w:pStyle w:val="Heading2"/>
        <w:keepNext/>
        <w:spacing w:after="120" w:before="280"/>
      </w:pPr>
      <w:r>
        <w:rPr>
          <w:rFonts w:ascii="Arial" w:cs="Arial" w:eastAsia="Arial" w:hAnsi="Arial"/>
          <w:b/>
          <w:bCs/>
          <w:color w:val="1A1A1A"/>
          <w:sz w:val="22"/>
          <w:szCs w:val="22"/>
        </w:rPr>
        <w:t xml:space="preserve">§ 2 Weisungen</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(1)</w:t>
      </w:r>
      <w:r>
        <w:rPr>
          <w:rFonts w:ascii="Arial" w:cs="Arial" w:eastAsia="Arial" w:hAnsi="Arial"/>
          <w:sz w:val="20"/>
          <w:szCs w:val="20"/>
        </w:rPr>
        <w:t xml:space="preserve">	</w:t>
      </w:r>
      <w:r>
        <w:rPr>
          <w:rFonts w:ascii="Arial" w:cs="Arial" w:eastAsia="Arial" w:hAnsi="Arial"/>
          <w:color w:val="1A1A1A"/>
          <w:sz w:val="20"/>
          <w:szCs w:val="20"/>
        </w:rPr>
        <w:t xml:space="preserve">Der Auftragsverarbeiter verarbeitet die personenbezogenen Daten nur auf dokumentierte Weisung des Auftraggebers, auch in Bezug auf die Übermittlung in ein Drittland oder an eine internationale Organisation. Das gilt nicht, soweit ihn das Recht der Europäischen Union oder eines Mitgliedstaats zur Verarbeitung verpflichtet. In diesem Fall teilt er dem Auftraggeber diese rechtlichen Anforderungen vor der Verarbeitung mit, sofern das betreffende Recht eine solche Mitteilung nicht wegen eines wichtigen öffentlichen Interesses verbietet (Art. 28 Abs. 3 lit. a DSGVO).</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(2)</w:t>
      </w:r>
      <w:r>
        <w:rPr>
          <w:rFonts w:ascii="Arial" w:cs="Arial" w:eastAsia="Arial" w:hAnsi="Arial"/>
          <w:sz w:val="20"/>
          <w:szCs w:val="20"/>
        </w:rPr>
        <w:t xml:space="preserve">	</w:t>
      </w:r>
      <w:r>
        <w:rPr>
          <w:rFonts w:ascii="Arial" w:cs="Arial" w:eastAsia="Arial" w:hAnsi="Arial"/>
          <w:color w:val="1A1A1A"/>
          <w:sz w:val="20"/>
          <w:szCs w:val="20"/>
        </w:rPr>
        <w:t xml:space="preserve">Dieser Vertrag und seine Anlagen enthalten die Weisungen des Auftraggebers. Weitere Weisungen erteilen die in Anlage 4 genannten Personen in Textform, etwa per E-Mail. Mündliche Weisungen bestätigt der Auftraggeber unverzüglich in Textform.</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(3)</w:t>
      </w:r>
      <w:r>
        <w:rPr>
          <w:rFonts w:ascii="Arial" w:cs="Arial" w:eastAsia="Arial" w:hAnsi="Arial"/>
          <w:sz w:val="20"/>
          <w:szCs w:val="20"/>
        </w:rPr>
        <w:t xml:space="preserve">	</w:t>
      </w:r>
      <w:r>
        <w:rPr>
          <w:rFonts w:ascii="Arial" w:cs="Arial" w:eastAsia="Arial" w:hAnsi="Arial"/>
          <w:color w:val="1A1A1A"/>
          <w:sz w:val="20"/>
          <w:szCs w:val="20"/>
        </w:rPr>
        <w:t xml:space="preserve">Ist der Auftragsverarbeiter der Auffassung, dass eine Weisung gegen die DSGVO oder andere Datenschutzvorschriften verstößt, informiert er den Auftraggeber unverzüglich. Er darf die Ausführung der Weisung aussetzen, bis der Auftraggeber sie bestätigt oder ändert.</w:t>
      </w:r>
    </w:p>
    <w:p>
      <w:pPr>
        <w:pStyle w:val="Heading2"/>
        <w:keepNext/>
        <w:spacing w:after="120" w:before="280"/>
      </w:pPr>
      <w:r>
        <w:rPr>
          <w:rFonts w:ascii="Arial" w:cs="Arial" w:eastAsia="Arial" w:hAnsi="Arial"/>
          <w:b/>
          <w:bCs/>
          <w:color w:val="1A1A1A"/>
          <w:sz w:val="22"/>
          <w:szCs w:val="22"/>
        </w:rPr>
        <w:t xml:space="preserve">§ 3 Vertraulichkeit der Personen mit Zugriff</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(1)</w:t>
      </w:r>
      <w:r>
        <w:rPr>
          <w:rFonts w:ascii="Arial" w:cs="Arial" w:eastAsia="Arial" w:hAnsi="Arial"/>
          <w:sz w:val="20"/>
          <w:szCs w:val="20"/>
        </w:rPr>
        <w:t xml:space="preserve">	</w:t>
      </w:r>
      <w:r>
        <w:rPr>
          <w:rFonts w:ascii="Arial" w:cs="Arial" w:eastAsia="Arial" w:hAnsi="Arial"/>
          <w:color w:val="1A1A1A"/>
          <w:sz w:val="20"/>
          <w:szCs w:val="20"/>
        </w:rPr>
        <w:t xml:space="preserve">Der Auftragsverarbeiter gewährleistet, dass sich alle Personen, die zur Verarbeitung der Daten befugt sind, zur Vertraulichkeit verpflichtet haben oder einer angemessenen gesetzlichen Verschwiegenheitspflicht unterliegen (Art. 28 Abs. 3 lit. b DSGVO). Diese Pflicht besteht über das Ende des Vertrags hinaus.</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(2)</w:t>
      </w:r>
      <w:r>
        <w:rPr>
          <w:rFonts w:ascii="Arial" w:cs="Arial" w:eastAsia="Arial" w:hAnsi="Arial"/>
          <w:sz w:val="20"/>
          <w:szCs w:val="20"/>
        </w:rPr>
        <w:t xml:space="preserve">	</w:t>
      </w:r>
      <w:r>
        <w:rPr>
          <w:rFonts w:ascii="Arial" w:cs="Arial" w:eastAsia="Arial" w:hAnsi="Arial"/>
          <w:color w:val="1A1A1A"/>
          <w:sz w:val="20"/>
          <w:szCs w:val="20"/>
        </w:rPr>
        <w:t xml:space="preserve">Die Daten verarbeitet ausschließlich Arian Kabiri. Weitere Personen erhalten nur Zugriff, wenn sie zuvor zur Vertraulichkeit verpflichtet und in die Anforderungen des Datenschutzes eingewiesen wurden und der Auftraggeber vorab in Textform informiert wurde.</w:t>
      </w:r>
    </w:p>
    <w:p>
      <w:pPr>
        <w:pStyle w:val="Heading2"/>
        <w:keepNext/>
        <w:spacing w:after="120" w:before="280"/>
      </w:pPr>
      <w:r>
        <w:rPr>
          <w:rFonts w:ascii="Arial" w:cs="Arial" w:eastAsia="Arial" w:hAnsi="Arial"/>
          <w:b/>
          <w:bCs/>
          <w:color w:val="1A1A1A"/>
          <w:sz w:val="22"/>
          <w:szCs w:val="22"/>
        </w:rPr>
        <w:t xml:space="preserve">§ 4 Sicherheit der Verarbeitung</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(1)</w:t>
      </w:r>
      <w:r>
        <w:rPr>
          <w:rFonts w:ascii="Arial" w:cs="Arial" w:eastAsia="Arial" w:hAnsi="Arial"/>
          <w:sz w:val="20"/>
          <w:szCs w:val="20"/>
        </w:rPr>
        <w:t xml:space="preserve">	</w:t>
      </w:r>
      <w:r>
        <w:rPr>
          <w:rFonts w:ascii="Arial" w:cs="Arial" w:eastAsia="Arial" w:hAnsi="Arial"/>
          <w:color w:val="1A1A1A"/>
          <w:sz w:val="20"/>
          <w:szCs w:val="20"/>
        </w:rPr>
        <w:t xml:space="preserve">Der Auftragsverarbeiter ergreift die technischen und organisatorischen Maßnahmen nach Art. 32 DSGVO, die in Anlage 2 beschrieben sind (Art. 28 Abs. 3 lit. c DSGVO).</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(2)</w:t>
      </w:r>
      <w:r>
        <w:rPr>
          <w:rFonts w:ascii="Arial" w:cs="Arial" w:eastAsia="Arial" w:hAnsi="Arial"/>
          <w:sz w:val="20"/>
          <w:szCs w:val="20"/>
        </w:rPr>
        <w:t xml:space="preserve">	</w:t>
      </w:r>
      <w:r>
        <w:rPr>
          <w:rFonts w:ascii="Arial" w:cs="Arial" w:eastAsia="Arial" w:hAnsi="Arial"/>
          <w:color w:val="1A1A1A"/>
          <w:sz w:val="20"/>
          <w:szCs w:val="20"/>
        </w:rPr>
        <w:t xml:space="preserve">Er darf die Maßnahmen an den Stand der Technik anpassen, sofern das Schutzniveau nicht sinkt. Wesentliche Änderungen teilt er dem Auftraggeber in Textform mit.</w:t>
      </w:r>
    </w:p>
    <w:p>
      <w:pPr>
        <w:pStyle w:val="Heading2"/>
        <w:keepNext/>
        <w:spacing w:after="120" w:before="280"/>
      </w:pPr>
      <w:r>
        <w:rPr>
          <w:rFonts w:ascii="Arial" w:cs="Arial" w:eastAsia="Arial" w:hAnsi="Arial"/>
          <w:b/>
          <w:bCs/>
          <w:color w:val="1A1A1A"/>
          <w:sz w:val="22"/>
          <w:szCs w:val="22"/>
        </w:rPr>
        <w:t xml:space="preserve">§ 5 Unterauftragsverarbeiter</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(1)</w:t>
      </w:r>
      <w:r>
        <w:rPr>
          <w:rFonts w:ascii="Arial" w:cs="Arial" w:eastAsia="Arial" w:hAnsi="Arial"/>
          <w:sz w:val="20"/>
          <w:szCs w:val="20"/>
        </w:rPr>
        <w:t xml:space="preserve">	</w:t>
      </w:r>
      <w:r>
        <w:rPr>
          <w:rFonts w:ascii="Arial" w:cs="Arial" w:eastAsia="Arial" w:hAnsi="Arial"/>
          <w:color w:val="1A1A1A"/>
          <w:sz w:val="20"/>
          <w:szCs w:val="20"/>
        </w:rPr>
        <w:t xml:space="preserve">Der Auftraggeber erteilt dem Auftragsverarbeiter die allgemeine schriftliche Genehmigung, weitere Auftragsverarbeiter (Unterauftragsverarbeiter) in Anspruch zu nehmen (Art. 28 Abs. 2 DSGVO). Die in Anlage 3 genannten Unterauftragsverarbeiter sind mit Unterzeichnung dieses Vertrags genehmigt.</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(2)</w:t>
      </w:r>
      <w:r>
        <w:rPr>
          <w:rFonts w:ascii="Arial" w:cs="Arial" w:eastAsia="Arial" w:hAnsi="Arial"/>
          <w:sz w:val="20"/>
          <w:szCs w:val="20"/>
        </w:rPr>
        <w:t xml:space="preserve">	</w:t>
      </w:r>
      <w:r>
        <w:rPr>
          <w:rFonts w:ascii="Arial" w:cs="Arial" w:eastAsia="Arial" w:hAnsi="Arial"/>
          <w:color w:val="1A1A1A"/>
          <w:sz w:val="20"/>
          <w:szCs w:val="20"/>
        </w:rPr>
        <w:t xml:space="preserve">Beabsichtigt der Auftragsverarbeiter, einen Unterauftragsverarbeiter hinzuzuziehen oder zu ersetzen, informiert er den Auftraggeber mindestens 14 Tage vorher in Textform. Der Auftraggeber kann der Änderung innerhalb dieser Frist aus datenschutzrechtlichen Gründen widersprechen. Einigen sich die Parteien nicht, kann jede Partei den Audit beenden; § 10 gilt.</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(3)</w:t>
      </w:r>
      <w:r>
        <w:rPr>
          <w:rFonts w:ascii="Arial" w:cs="Arial" w:eastAsia="Arial" w:hAnsi="Arial"/>
          <w:sz w:val="20"/>
          <w:szCs w:val="20"/>
        </w:rPr>
        <w:t xml:space="preserve">	</w:t>
      </w:r>
      <w:r>
        <w:rPr>
          <w:rFonts w:ascii="Arial" w:cs="Arial" w:eastAsia="Arial" w:hAnsi="Arial"/>
          <w:color w:val="1A1A1A"/>
          <w:sz w:val="20"/>
          <w:szCs w:val="20"/>
        </w:rPr>
        <w:t xml:space="preserve">Der Auftragsverarbeiter erlegt jedem Unterauftragsverarbeiter vertraglich dieselben Datenschutzpflichten auf, die in diesem Vertrag festgelegt sind, insbesondere hinreichende Garantien für geeignete technische und organisatorische Maßnahmen (Art. 28 Abs. 4 DSGVO). Kommt ein Unterauftragsverarbeiter seinen Datenschutzpflichten nicht nach, haftet der Auftragsverarbeiter gegenüber dem Auftraggeber für die Einhaltung dieser Pflichten.</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(4)</w:t>
      </w:r>
      <w:r>
        <w:rPr>
          <w:rFonts w:ascii="Arial" w:cs="Arial" w:eastAsia="Arial" w:hAnsi="Arial"/>
          <w:sz w:val="20"/>
          <w:szCs w:val="20"/>
        </w:rPr>
        <w:t xml:space="preserve">	</w:t>
      </w:r>
      <w:r>
        <w:rPr>
          <w:rFonts w:ascii="Arial" w:cs="Arial" w:eastAsia="Arial" w:hAnsi="Arial"/>
          <w:color w:val="1A1A1A"/>
          <w:sz w:val="20"/>
          <w:szCs w:val="20"/>
        </w:rPr>
        <w:t xml:space="preserve">Keine Unterauftragsverarbeitung sind Leistungen Dritter, bei denen diese keinen Zugriff auf die Daten des Auftraggebers erhalten, etwa reine Telekommunikations- und Transportleistungen.</w:t>
      </w:r>
    </w:p>
    <w:p>
      <w:pPr>
        <w:pStyle w:val="Heading2"/>
        <w:keepNext/>
        <w:spacing w:after="120" w:before="280"/>
      </w:pPr>
      <w:r>
        <w:rPr>
          <w:rFonts w:ascii="Arial" w:cs="Arial" w:eastAsia="Arial" w:hAnsi="Arial"/>
          <w:b/>
          <w:bCs/>
          <w:color w:val="1A1A1A"/>
          <w:sz w:val="22"/>
          <w:szCs w:val="22"/>
        </w:rPr>
        <w:t xml:space="preserve">§ 6 Ort der Verarbeitung</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(1)</w:t>
      </w:r>
      <w:r>
        <w:rPr>
          <w:rFonts w:ascii="Arial" w:cs="Arial" w:eastAsia="Arial" w:hAnsi="Arial"/>
          <w:sz w:val="20"/>
          <w:szCs w:val="20"/>
        </w:rPr>
        <w:t xml:space="preserve">	</w:t>
      </w:r>
      <w:r>
        <w:rPr>
          <w:rFonts w:ascii="Arial" w:cs="Arial" w:eastAsia="Arial" w:hAnsi="Arial"/>
          <w:color w:val="1A1A1A"/>
          <w:sz w:val="20"/>
          <w:szCs w:val="20"/>
        </w:rPr>
        <w:t xml:space="preserve">Die Verarbeitung findet in der Europäischen Union oder im Europäischen Wirtschaftsraum statt, soweit Anlage 3 nichts anderes vorsieht.</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(2)</w:t>
      </w:r>
      <w:r>
        <w:rPr>
          <w:rFonts w:ascii="Arial" w:cs="Arial" w:eastAsia="Arial" w:hAnsi="Arial"/>
          <w:sz w:val="20"/>
          <w:szCs w:val="20"/>
        </w:rPr>
        <w:t xml:space="preserve">	</w:t>
      </w:r>
      <w:r>
        <w:rPr>
          <w:rFonts w:ascii="Arial" w:cs="Arial" w:eastAsia="Arial" w:hAnsi="Arial"/>
          <w:color w:val="1A1A1A"/>
          <w:sz w:val="20"/>
          <w:szCs w:val="20"/>
        </w:rPr>
        <w:t xml:space="preserve">Eine Übermittlung in ein Drittland erfolgt nur mit vorheriger Zustimmung des Auftraggebers in Textform und nur, wenn die Voraussetzungen der Art. 44 bis 49 DSGVO erfüllt sind. Die in Anlage 3 beschriebenen Übermittlungen gelten als genehmigt.</w:t>
      </w:r>
    </w:p>
    <w:p>
      <w:pPr>
        <w:pStyle w:val="Heading2"/>
        <w:keepNext/>
        <w:spacing w:after="120" w:before="280"/>
      </w:pPr>
      <w:r>
        <w:rPr>
          <w:rFonts w:ascii="Arial" w:cs="Arial" w:eastAsia="Arial" w:hAnsi="Arial"/>
          <w:b/>
          <w:bCs/>
          <w:color w:val="1A1A1A"/>
          <w:sz w:val="22"/>
          <w:szCs w:val="22"/>
        </w:rPr>
        <w:t xml:space="preserve">§ 7 Zweckbindung</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(1)</w:t>
      </w:r>
      <w:r>
        <w:rPr>
          <w:rFonts w:ascii="Arial" w:cs="Arial" w:eastAsia="Arial" w:hAnsi="Arial"/>
          <w:sz w:val="20"/>
          <w:szCs w:val="20"/>
        </w:rPr>
        <w:t xml:space="preserve">	</w:t>
      </w:r>
      <w:r>
        <w:rPr>
          <w:rFonts w:ascii="Arial" w:cs="Arial" w:eastAsia="Arial" w:hAnsi="Arial"/>
          <w:color w:val="1A1A1A"/>
          <w:sz w:val="20"/>
          <w:szCs w:val="20"/>
        </w:rPr>
        <w:t xml:space="preserve">Der Auftragsverarbeiter verwendet die Daten ausschließlich für den Audit. Er verwendet sie insbesondere nicht zum Training oder zur Verbesserung von Modellen, nicht für Tests, Benchmarks, Forschung oder Veröffentlichungen und nicht für Werbung.</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(2)</w:t>
      </w:r>
      <w:r>
        <w:rPr>
          <w:rFonts w:ascii="Arial" w:cs="Arial" w:eastAsia="Arial" w:hAnsi="Arial"/>
          <w:sz w:val="20"/>
          <w:szCs w:val="20"/>
        </w:rPr>
        <w:t xml:space="preserve">	</w:t>
      </w:r>
      <w:r>
        <w:rPr>
          <w:rFonts w:ascii="Arial" w:cs="Arial" w:eastAsia="Arial" w:hAnsi="Arial"/>
          <w:color w:val="1A1A1A"/>
          <w:sz w:val="20"/>
          <w:szCs w:val="20"/>
        </w:rPr>
        <w:t xml:space="preserve">Der Auftragsverarbeiter darf aus dem Ergebnis des Audits zusammengefasste Kennzahlen ohne Personenbezug behalten, etwa die Summe der im untersuchten Zeitraum entgangenen Skonti, soweit er sie für die Anbahnung und Abrechnung eines Vertrags mit dem Auftraggeber benötigt.</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(3)</w:t>
      </w:r>
      <w:r>
        <w:rPr>
          <w:rFonts w:ascii="Arial" w:cs="Arial" w:eastAsia="Arial" w:hAnsi="Arial"/>
          <w:sz w:val="20"/>
          <w:szCs w:val="20"/>
        </w:rPr>
        <w:t xml:space="preserve">	</w:t>
      </w:r>
      <w:r>
        <w:rPr>
          <w:rFonts w:ascii="Arial" w:cs="Arial" w:eastAsia="Arial" w:hAnsi="Arial"/>
          <w:color w:val="1A1A1A"/>
          <w:sz w:val="20"/>
          <w:szCs w:val="20"/>
        </w:rPr>
        <w:t xml:space="preserve">Kopien der Daten erstellt er nur, soweit sie für den Audit technisch erforderlich sind.</w:t>
      </w:r>
    </w:p>
    <w:p>
      <w:pPr>
        <w:pStyle w:val="Heading2"/>
        <w:keepNext/>
        <w:spacing w:after="120" w:before="280"/>
      </w:pPr>
      <w:r>
        <w:rPr>
          <w:rFonts w:ascii="Arial" w:cs="Arial" w:eastAsia="Arial" w:hAnsi="Arial"/>
          <w:b/>
          <w:bCs/>
          <w:color w:val="1A1A1A"/>
          <w:sz w:val="22"/>
          <w:szCs w:val="22"/>
        </w:rPr>
        <w:t xml:space="preserve">§ 8 Unterstützung des Auftraggebers</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(1)</w:t>
      </w:r>
      <w:r>
        <w:rPr>
          <w:rFonts w:ascii="Arial" w:cs="Arial" w:eastAsia="Arial" w:hAnsi="Arial"/>
          <w:sz w:val="20"/>
          <w:szCs w:val="20"/>
        </w:rPr>
        <w:t xml:space="preserve">	</w:t>
      </w:r>
      <w:r>
        <w:rPr>
          <w:rFonts w:ascii="Arial" w:cs="Arial" w:eastAsia="Arial" w:hAnsi="Arial"/>
          <w:color w:val="1A1A1A"/>
          <w:sz w:val="20"/>
          <w:szCs w:val="20"/>
        </w:rPr>
        <w:t xml:space="preserve">Wendet sich eine betroffene Person mit einem Anliegen nach Art. 12 bis 22 DSGVO an den Auftragsverarbeiter, leitet er es unverzüglich an den Auftraggeber weiter. Er beantwortet es nicht selbst, es sei denn, der Auftraggeber weist ihn dazu an. Er unterstützt den Auftraggeber mit geeigneten technischen und organisatorischen Maßnahmen dabei, solche Anliegen zu erfüllen (Art. 28 Abs. 3 lit. e DSGVO).</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(2)</w:t>
      </w:r>
      <w:r>
        <w:rPr>
          <w:rFonts w:ascii="Arial" w:cs="Arial" w:eastAsia="Arial" w:hAnsi="Arial"/>
          <w:sz w:val="20"/>
          <w:szCs w:val="20"/>
        </w:rPr>
        <w:t xml:space="preserve">	</w:t>
      </w:r>
      <w:r>
        <w:rPr>
          <w:rFonts w:ascii="Arial" w:cs="Arial" w:eastAsia="Arial" w:hAnsi="Arial"/>
          <w:color w:val="1A1A1A"/>
          <w:sz w:val="20"/>
          <w:szCs w:val="20"/>
        </w:rPr>
        <w:t xml:space="preserve">Unter Berücksichtigung der Art der Verarbeitung und der ihm zur Verfügung stehenden Informationen unterstützt er den Auftraggeber bei der Einhaltung der Pflichten aus Art. 32 bis 36 DSGVO, insbesondere bei Meldungen von Datenschutzverletzungen und einer etwaigen Datenschutz-Folgenabschätzung (Art. 28 Abs. 3 lit. f DSGVO).</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(3)</w:t>
      </w:r>
      <w:r>
        <w:rPr>
          <w:rFonts w:ascii="Arial" w:cs="Arial" w:eastAsia="Arial" w:hAnsi="Arial"/>
          <w:sz w:val="20"/>
          <w:szCs w:val="20"/>
        </w:rPr>
        <w:t xml:space="preserve">	</w:t>
      </w:r>
      <w:r>
        <w:rPr>
          <w:rFonts w:ascii="Arial" w:cs="Arial" w:eastAsia="Arial" w:hAnsi="Arial"/>
          <w:color w:val="1A1A1A"/>
          <w:sz w:val="20"/>
          <w:szCs w:val="20"/>
        </w:rPr>
        <w:t xml:space="preserve">Er arbeitet auf Anfrage mit der zuständigen Aufsichtsbehörde zusammen (Art. 31 DSGVO) und informiert den Auftraggeber unverzüglich über Anfragen oder Maßnahmen einer Aufsichtsbehörde, die diesen Auftrag betreffen.</w:t>
      </w:r>
    </w:p>
    <w:p>
      <w:pPr>
        <w:pStyle w:val="Heading2"/>
        <w:keepNext/>
        <w:spacing w:after="120" w:before="280"/>
      </w:pPr>
      <w:r>
        <w:rPr>
          <w:rFonts w:ascii="Arial" w:cs="Arial" w:eastAsia="Arial" w:hAnsi="Arial"/>
          <w:b/>
          <w:bCs/>
          <w:color w:val="1A1A1A"/>
          <w:sz w:val="22"/>
          <w:szCs w:val="22"/>
        </w:rPr>
        <w:t xml:space="preserve">§ 9 Verletzungen des Schutzes personenbezogener Daten</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(1)</w:t>
      </w:r>
      <w:r>
        <w:rPr>
          <w:rFonts w:ascii="Arial" w:cs="Arial" w:eastAsia="Arial" w:hAnsi="Arial"/>
          <w:sz w:val="20"/>
          <w:szCs w:val="20"/>
        </w:rPr>
        <w:t xml:space="preserve">	</w:t>
      </w:r>
      <w:r>
        <w:rPr>
          <w:rFonts w:ascii="Arial" w:cs="Arial" w:eastAsia="Arial" w:hAnsi="Arial"/>
          <w:color w:val="1A1A1A"/>
          <w:sz w:val="20"/>
          <w:szCs w:val="20"/>
        </w:rPr>
        <w:t xml:space="preserve">Der Auftragsverarbeiter meldet dem Auftraggeber eine Verletzung des Schutzes personenbezogener Daten unverzüglich, spätestens innerhalb von 24 Stunden, nachdem sie ihm bekannt geworden ist (Art. 33 Abs. 2 DSGVO).</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(2)</w:t>
      </w:r>
      <w:r>
        <w:rPr>
          <w:rFonts w:ascii="Arial" w:cs="Arial" w:eastAsia="Arial" w:hAnsi="Arial"/>
          <w:sz w:val="20"/>
          <w:szCs w:val="20"/>
        </w:rPr>
        <w:t xml:space="preserve">	</w:t>
      </w:r>
      <w:r>
        <w:rPr>
          <w:rFonts w:ascii="Arial" w:cs="Arial" w:eastAsia="Arial" w:hAnsi="Arial"/>
          <w:color w:val="1A1A1A"/>
          <w:sz w:val="20"/>
          <w:szCs w:val="20"/>
        </w:rPr>
        <w:t xml:space="preserve">Die Meldung enthält, soweit bekannt, die Angaben nach Art. 33 Abs. 3 DSGVO: die Art der Verletzung, die Kategorien und die ungefähre Zahl der betroffenen Personen und Datensätze, die wahrscheinlichen Folgen sowie die ergriffenen oder vorgeschlagenen Maßnahmen. Angaben, die noch nicht vorliegen, reicht er schrittweise nach.</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(3)</w:t>
      </w:r>
      <w:r>
        <w:rPr>
          <w:rFonts w:ascii="Arial" w:cs="Arial" w:eastAsia="Arial" w:hAnsi="Arial"/>
          <w:sz w:val="20"/>
          <w:szCs w:val="20"/>
        </w:rPr>
        <w:t xml:space="preserve">	</w:t>
      </w:r>
      <w:r>
        <w:rPr>
          <w:rFonts w:ascii="Arial" w:cs="Arial" w:eastAsia="Arial" w:hAnsi="Arial"/>
          <w:color w:val="1A1A1A"/>
          <w:sz w:val="20"/>
          <w:szCs w:val="20"/>
        </w:rPr>
        <w:t xml:space="preserve">Er ergreift unverzüglich die erforderlichen Maßnahmen, um die Verletzung einzudämmen und mögliche nachteilige Folgen zu mindern, und stimmt sich dazu mit dem Auftraggeber ab. Meldungen an die Aufsichtsbehörde und Benachrichtigungen betroffener Personen nimmt der Auftraggeber vor.</w:t>
      </w:r>
    </w:p>
    <w:p>
      <w:pPr>
        <w:pStyle w:val="Heading2"/>
        <w:keepNext/>
        <w:spacing w:after="120" w:before="280"/>
      </w:pPr>
      <w:r>
        <w:rPr>
          <w:rFonts w:ascii="Arial" w:cs="Arial" w:eastAsia="Arial" w:hAnsi="Arial"/>
          <w:b/>
          <w:bCs/>
          <w:color w:val="1A1A1A"/>
          <w:sz w:val="22"/>
          <w:szCs w:val="22"/>
        </w:rPr>
        <w:t xml:space="preserve">§ 10 Löschung und Rückgabe</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(1)</w:t>
      </w:r>
      <w:r>
        <w:rPr>
          <w:rFonts w:ascii="Arial" w:cs="Arial" w:eastAsia="Arial" w:hAnsi="Arial"/>
          <w:sz w:val="20"/>
          <w:szCs w:val="20"/>
        </w:rPr>
        <w:t xml:space="preserve">	</w:t>
      </w:r>
      <w:r>
        <w:rPr>
          <w:rFonts w:ascii="Arial" w:cs="Arial" w:eastAsia="Arial" w:hAnsi="Arial"/>
          <w:color w:val="1A1A1A"/>
          <w:sz w:val="20"/>
          <w:szCs w:val="20"/>
        </w:rPr>
        <w:t xml:space="preserve">Spätestens 30 Tage nach Übergabe des Berichts löscht der Auftragsverarbeiter alle personenbezogenen Daten des Auftraggebers einschließlich aller Kopien, Zwischenstände und Auswertungen, sofern nicht nach dem Recht der Europäischen Union oder eines Mitgliedstaats eine Pflicht zur Speicherung besteht (Art. 28 Abs. 3 lit. g DSGVO). Auf Weisung des Auftraggebers gibt er die Daten vor der Löschung zurück oder löscht sie früher.</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(2)</w:t>
      </w:r>
      <w:r>
        <w:rPr>
          <w:rFonts w:ascii="Arial" w:cs="Arial" w:eastAsia="Arial" w:hAnsi="Arial"/>
          <w:sz w:val="20"/>
          <w:szCs w:val="20"/>
        </w:rPr>
        <w:t xml:space="preserve">	</w:t>
      </w:r>
      <w:r>
        <w:rPr>
          <w:rFonts w:ascii="Arial" w:cs="Arial" w:eastAsia="Arial" w:hAnsi="Arial"/>
          <w:color w:val="1A1A1A"/>
          <w:sz w:val="20"/>
          <w:szCs w:val="20"/>
        </w:rPr>
        <w:t xml:space="preserve">Endet der Audit vorzeitig, beginnt die Frist nach Absatz 1 mit der Beendigung.</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(3)</w:t>
      </w:r>
      <w:r>
        <w:rPr>
          <w:rFonts w:ascii="Arial" w:cs="Arial" w:eastAsia="Arial" w:hAnsi="Arial"/>
          <w:sz w:val="20"/>
          <w:szCs w:val="20"/>
        </w:rPr>
        <w:t xml:space="preserve">	</w:t>
      </w:r>
      <w:r>
        <w:rPr>
          <w:rFonts w:ascii="Arial" w:cs="Arial" w:eastAsia="Arial" w:hAnsi="Arial"/>
          <w:color w:val="1A1A1A"/>
          <w:sz w:val="20"/>
          <w:szCs w:val="20"/>
        </w:rPr>
        <w:t xml:space="preserve">Bei Unterauftragsverarbeitern richtet sich die Löschung nach den in Anlage 3 genannten Bedingungen.</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(4)</w:t>
      </w:r>
      <w:r>
        <w:rPr>
          <w:rFonts w:ascii="Arial" w:cs="Arial" w:eastAsia="Arial" w:hAnsi="Arial"/>
          <w:sz w:val="20"/>
          <w:szCs w:val="20"/>
        </w:rPr>
        <w:t xml:space="preserve">	</w:t>
      </w:r>
      <w:r>
        <w:rPr>
          <w:rFonts w:ascii="Arial" w:cs="Arial" w:eastAsia="Arial" w:hAnsi="Arial"/>
          <w:color w:val="1A1A1A"/>
          <w:sz w:val="20"/>
          <w:szCs w:val="20"/>
        </w:rPr>
        <w:t xml:space="preserve">Der Auftragsverarbeiter bestätigt dem Auftraggeber die Löschung in Textform unter Angabe des Datums.</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(5)</w:t>
      </w:r>
      <w:r>
        <w:rPr>
          <w:rFonts w:ascii="Arial" w:cs="Arial" w:eastAsia="Arial" w:hAnsi="Arial"/>
          <w:sz w:val="20"/>
          <w:szCs w:val="20"/>
        </w:rPr>
        <w:t xml:space="preserve">	</w:t>
      </w:r>
      <w:r>
        <w:rPr>
          <w:rFonts w:ascii="Arial" w:cs="Arial" w:eastAsia="Arial" w:hAnsi="Arial"/>
          <w:color w:val="1A1A1A"/>
          <w:sz w:val="20"/>
          <w:szCs w:val="20"/>
        </w:rPr>
        <w:t xml:space="preserve">Die Originalbelege verbleiben beim Auftraggeber. Gesetzliche Aufbewahrungspflichten für die Belege treffen allein den Auftraggeber.</w:t>
      </w:r>
    </w:p>
    <w:p>
      <w:pPr>
        <w:pStyle w:val="Heading2"/>
        <w:keepNext/>
        <w:spacing w:after="120" w:before="280"/>
      </w:pPr>
      <w:r>
        <w:rPr>
          <w:rFonts w:ascii="Arial" w:cs="Arial" w:eastAsia="Arial" w:hAnsi="Arial"/>
          <w:b/>
          <w:bCs/>
          <w:color w:val="1A1A1A"/>
          <w:sz w:val="22"/>
          <w:szCs w:val="22"/>
        </w:rPr>
        <w:t xml:space="preserve">§ 11 Nachweise und Kontrollen</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(1)</w:t>
      </w:r>
      <w:r>
        <w:rPr>
          <w:rFonts w:ascii="Arial" w:cs="Arial" w:eastAsia="Arial" w:hAnsi="Arial"/>
          <w:sz w:val="20"/>
          <w:szCs w:val="20"/>
        </w:rPr>
        <w:t xml:space="preserve">	</w:t>
      </w:r>
      <w:r>
        <w:rPr>
          <w:rFonts w:ascii="Arial" w:cs="Arial" w:eastAsia="Arial" w:hAnsi="Arial"/>
          <w:color w:val="1A1A1A"/>
          <w:sz w:val="20"/>
          <w:szCs w:val="20"/>
        </w:rPr>
        <w:t xml:space="preserve">Der Auftragsverarbeiter stellt dem Auftraggeber alle erforderlichen Informationen zum Nachweis der Einhaltung der in Art. 28 DSGVO niedergelegten Pflichten zur Verfügung (Art. 28 Abs. 3 lit. h DSGVO).</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(2)</w:t>
      </w:r>
      <w:r>
        <w:rPr>
          <w:rFonts w:ascii="Arial" w:cs="Arial" w:eastAsia="Arial" w:hAnsi="Arial"/>
          <w:sz w:val="20"/>
          <w:szCs w:val="20"/>
        </w:rPr>
        <w:t xml:space="preserve">	</w:t>
      </w:r>
      <w:r>
        <w:rPr>
          <w:rFonts w:ascii="Arial" w:cs="Arial" w:eastAsia="Arial" w:hAnsi="Arial"/>
          <w:color w:val="1A1A1A"/>
          <w:sz w:val="20"/>
          <w:szCs w:val="20"/>
        </w:rPr>
        <w:t xml:space="preserve">Er ermöglicht Überprüfungen einschließlich Inspektionen, die vom Auftraggeber oder einem von diesem beauftragten, zur Verschwiegenheit verpflichteten Prüfer durchgeführt werden, und trägt dazu bei. Überprüfungen vor Ort werden mit einer angemessenen Frist, in der Regel 14 Tage, angekündigt und während der üblichen Geschäftszeiten ohne vermeidbare Störung des Betriebs durchgeführt. Ein beauftragter Prüfer darf nicht in einem Wettbewerbsverhältnis zum Auftragsverarbeiter stehen.</w:t>
      </w:r>
    </w:p>
    <w:p>
      <w:pPr>
        <w:pStyle w:val="Heading2"/>
        <w:keepNext/>
        <w:spacing w:after="120" w:before="280"/>
      </w:pPr>
      <w:r>
        <w:rPr>
          <w:rFonts w:ascii="Arial" w:cs="Arial" w:eastAsia="Arial" w:hAnsi="Arial"/>
          <w:b/>
          <w:bCs/>
          <w:color w:val="1A1A1A"/>
          <w:sz w:val="22"/>
          <w:szCs w:val="22"/>
        </w:rPr>
        <w:t xml:space="preserve">§ 12 Vertraulichkeit von Geschäftsinformationen</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(1)</w:t>
      </w:r>
      <w:r>
        <w:rPr>
          <w:rFonts w:ascii="Arial" w:cs="Arial" w:eastAsia="Arial" w:hAnsi="Arial"/>
          <w:sz w:val="20"/>
          <w:szCs w:val="20"/>
        </w:rPr>
        <w:t xml:space="preserve">	</w:t>
      </w:r>
      <w:r>
        <w:rPr>
          <w:rFonts w:ascii="Arial" w:cs="Arial" w:eastAsia="Arial" w:hAnsi="Arial"/>
          <w:color w:val="1A1A1A"/>
          <w:sz w:val="20"/>
          <w:szCs w:val="20"/>
        </w:rPr>
        <w:t xml:space="preserve">Über den Datenschutz hinaus behandelt der Auftragsverarbeiter alle Belege, Zahlen und sonstigen Informationen, die er im Rahmen des Audits vom Auftraggeber erhält, vertraulich. Er gibt sie nicht an Dritte weiter, außer an die Unterauftragsverarbeiter nach Anlage 3, und verwendet sie nur für den Audit und die in § 7 Abs. 2 genannten Zwecke. Diese Pflicht gilt fünf Jahre über das Ende des Vertrags hinaus.</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(2)</w:t>
      </w:r>
      <w:r>
        <w:rPr>
          <w:rFonts w:ascii="Arial" w:cs="Arial" w:eastAsia="Arial" w:hAnsi="Arial"/>
          <w:sz w:val="20"/>
          <w:szCs w:val="20"/>
        </w:rPr>
        <w:t xml:space="preserve">	</w:t>
      </w:r>
      <w:r>
        <w:rPr>
          <w:rFonts w:ascii="Arial" w:cs="Arial" w:eastAsia="Arial" w:hAnsi="Arial"/>
          <w:color w:val="1A1A1A"/>
          <w:sz w:val="20"/>
          <w:szCs w:val="20"/>
        </w:rPr>
        <w:t xml:space="preserve">Nicht vertraulich sind Informationen, die öffentlich bekannt sind oder ohne Verstoß gegen diesen Vertrag öffentlich bekannt werden, sowie Informationen, die der Auftragsverarbeiter nachweislich unabhängig vom Audit erhalten hat.</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(3)</w:t>
      </w:r>
      <w:r>
        <w:rPr>
          <w:rFonts w:ascii="Arial" w:cs="Arial" w:eastAsia="Arial" w:hAnsi="Arial"/>
          <w:sz w:val="20"/>
          <w:szCs w:val="20"/>
        </w:rPr>
        <w:t xml:space="preserve">	</w:t>
      </w:r>
      <w:r>
        <w:rPr>
          <w:rFonts w:ascii="Arial" w:cs="Arial" w:eastAsia="Arial" w:hAnsi="Arial"/>
          <w:color w:val="1A1A1A"/>
          <w:sz w:val="20"/>
          <w:szCs w:val="20"/>
        </w:rPr>
        <w:t xml:space="preserve">Der Auftragsverarbeiter nennt den Auftraggeber nur mit dessen vorheriger Zustimmung in Textform als Referenz.</w:t>
      </w:r>
    </w:p>
    <w:p>
      <w:pPr>
        <w:pStyle w:val="Heading2"/>
        <w:keepNext/>
        <w:spacing w:after="120" w:before="280"/>
      </w:pPr>
      <w:r>
        <w:rPr>
          <w:rFonts w:ascii="Arial" w:cs="Arial" w:eastAsia="Arial" w:hAnsi="Arial"/>
          <w:b/>
          <w:bCs/>
          <w:color w:val="1A1A1A"/>
          <w:sz w:val="22"/>
          <w:szCs w:val="22"/>
        </w:rPr>
        <w:t xml:space="preserve">§ 13 Haftung</w:t>
      </w:r>
    </w:p>
    <w:p>
      <w:pPr>
        <w:spacing w:after="120" w:before="0" w:line="276"/>
        <w:jc w:val="both"/>
      </w:pPr>
      <w:r>
        <w:rPr>
          <w:rFonts w:ascii="Arial" w:cs="Arial" w:eastAsia="Arial" w:hAnsi="Arial"/>
          <w:color w:val="1A1A1A"/>
          <w:sz w:val="20"/>
          <w:szCs w:val="20"/>
        </w:rPr>
        <w:t xml:space="preserve">Für die Haftung gegenüber betroffenen Personen gilt Art. 82 DSGVO. Im Verhältnis der Parteien zueinander gelten die gesetzlichen Vorschriften.</w:t>
      </w:r>
    </w:p>
    <w:p>
      <w:pPr>
        <w:pStyle w:val="Heading2"/>
        <w:keepNext/>
        <w:spacing w:after="120" w:before="280"/>
      </w:pPr>
      <w:r>
        <w:rPr>
          <w:rFonts w:ascii="Arial" w:cs="Arial" w:eastAsia="Arial" w:hAnsi="Arial"/>
          <w:b/>
          <w:bCs/>
          <w:color w:val="1A1A1A"/>
          <w:sz w:val="22"/>
          <w:szCs w:val="22"/>
        </w:rPr>
        <w:t xml:space="preserve">§ 14 Schlussbestimmungen</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(1)</w:t>
      </w:r>
      <w:r>
        <w:rPr>
          <w:rFonts w:ascii="Arial" w:cs="Arial" w:eastAsia="Arial" w:hAnsi="Arial"/>
          <w:sz w:val="20"/>
          <w:szCs w:val="20"/>
        </w:rPr>
        <w:t xml:space="preserve">	</w:t>
      </w:r>
      <w:r>
        <w:rPr>
          <w:rFonts w:ascii="Arial" w:cs="Arial" w:eastAsia="Arial" w:hAnsi="Arial"/>
          <w:color w:val="1A1A1A"/>
          <w:sz w:val="20"/>
          <w:szCs w:val="20"/>
        </w:rPr>
        <w:t xml:space="preserve">Änderungen und Ergänzungen dieses Vertrags bedürfen der Textform. Der Vertrag kann in elektronischer Form geschlossen werden (Art. 28 Abs. 9 DSGVO).</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(2)</w:t>
      </w:r>
      <w:r>
        <w:rPr>
          <w:rFonts w:ascii="Arial" w:cs="Arial" w:eastAsia="Arial" w:hAnsi="Arial"/>
          <w:sz w:val="20"/>
          <w:szCs w:val="20"/>
        </w:rPr>
        <w:t xml:space="preserve">	</w:t>
      </w:r>
      <w:r>
        <w:rPr>
          <w:rFonts w:ascii="Arial" w:cs="Arial" w:eastAsia="Arial" w:hAnsi="Arial"/>
          <w:color w:val="1A1A1A"/>
          <w:sz w:val="20"/>
          <w:szCs w:val="20"/>
        </w:rPr>
        <w:t xml:space="preserve">Bei Widersprüchen zwischen diesem Vertrag und anderen Vereinbarungen der Parteien geht dieser Vertrag in allen Fragen des Datenschutzes vor.</w:t>
      </w:r>
    </w:p>
    <w:p>
      <w:pPr>
        <w:keepNext w:val="false"/>
        <w:keepLines w:val="false"/>
        <w:tabs>
          <w:tab w:val="left" w:pos="425"/>
        </w:tabs>
        <w:spacing w:after="120" w:line="276"/>
        <w:ind w:left="425" w:hanging="425"/>
        <w:jc w:val="both"/>
      </w:pPr>
      <w:r>
        <w:rPr>
          <w:rFonts w:ascii="Arial" w:cs="Arial" w:eastAsia="Arial" w:hAnsi="Arial"/>
          <w:color w:val="1A1A1A"/>
          <w:sz w:val="20"/>
          <w:szCs w:val="20"/>
        </w:rPr>
        <w:t xml:space="preserve">(3)</w:t>
      </w:r>
      <w:r>
        <w:rPr>
          <w:rFonts w:ascii="Arial" w:cs="Arial" w:eastAsia="Arial" w:hAnsi="Arial"/>
          <w:sz w:val="20"/>
          <w:szCs w:val="20"/>
        </w:rPr>
        <w:t xml:space="preserve">	</w:t>
      </w:r>
      <w:r>
        <w:rPr>
          <w:rFonts w:ascii="Arial" w:cs="Arial" w:eastAsia="Arial" w:hAnsi="Arial"/>
          <w:color w:val="1A1A1A"/>
          <w:sz w:val="20"/>
          <w:szCs w:val="20"/>
        </w:rPr>
        <w:t xml:space="preserve">Ist eine Bestimmung dieses Vertrags unwirksam, bleibt der übrige Vertrag wirksam. An die Stelle der unwirksamen Bestimmung tritt eine Regelung, die den Anforderungen des Art. 28 DSGVO entspricht.</w:t>
      </w:r>
    </w:p>
    <w:p>
      <w:pPr>
        <w:keepNext/>
        <w:keepLines/>
        <w:tabs>
          <w:tab w:val="left" w:pos="425"/>
        </w:tabs>
        <w:spacing w:after="120" w:line="276"/>
        <w:ind w:left="425" w:hanging="425"/>
        <w:jc w:val="both"/>
      </w:pPr>
      <w:r>
        <w:rPr>
          <w:rFonts w:ascii="Arial" w:cs="Arial" w:eastAsia="Arial" w:hAnsi="Arial"/>
          <w:color w:val="1A1A1A"/>
          <w:sz w:val="20"/>
          <w:szCs w:val="20"/>
        </w:rPr>
        <w:t xml:space="preserve">(4)</w:t>
      </w:r>
      <w:r>
        <w:rPr>
          <w:rFonts w:ascii="Arial" w:cs="Arial" w:eastAsia="Arial" w:hAnsi="Arial"/>
          <w:sz w:val="20"/>
          <w:szCs w:val="20"/>
        </w:rPr>
        <w:t xml:space="preserve">	</w:t>
      </w:r>
      <w:r>
        <w:rPr>
          <w:rFonts w:ascii="Arial" w:cs="Arial" w:eastAsia="Arial" w:hAnsi="Arial"/>
          <w:color w:val="1A1A1A"/>
          <w:sz w:val="20"/>
          <w:szCs w:val="20"/>
        </w:rPr>
        <w:t xml:space="preserve">Es gilt das Recht der Bundesrepublik Deutschland. Gerichtsstand ist, soweit gesetzlich zulässig, Berlin.</w:t>
      </w:r>
    </w:p>
    <w:p>
      <w:pPr>
        <w:keepNext/>
        <w:keepLines/>
        <w:tabs>
          <w:tab w:val="left" w:pos="425"/>
        </w:tabs>
        <w:spacing w:after="120" w:line="276"/>
        <w:ind w:left="425" w:hanging="425"/>
        <w:jc w:val="both"/>
      </w:pPr>
      <w:r>
        <w:rPr>
          <w:rFonts w:ascii="Arial" w:cs="Arial" w:eastAsia="Arial" w:hAnsi="Arial"/>
          <w:color w:val="1A1A1A"/>
          <w:sz w:val="20"/>
          <w:szCs w:val="20"/>
        </w:rPr>
        <w:t xml:space="preserve">(5)</w:t>
      </w:r>
      <w:r>
        <w:rPr>
          <w:rFonts w:ascii="Arial" w:cs="Arial" w:eastAsia="Arial" w:hAnsi="Arial"/>
          <w:sz w:val="20"/>
          <w:szCs w:val="20"/>
        </w:rPr>
        <w:t xml:space="preserve">	</w:t>
      </w:r>
      <w:r>
        <w:rPr>
          <w:rFonts w:ascii="Arial" w:cs="Arial" w:eastAsia="Arial" w:hAnsi="Arial"/>
          <w:color w:val="1A1A1A"/>
          <w:sz w:val="20"/>
          <w:szCs w:val="20"/>
        </w:rPr>
        <w:t xml:space="preserve">Anlagen 1 bis 4 sind Bestandteil dieses Vertrags.</w:t>
      </w:r>
    </w:p>
    <w:p>
      <w:pPr>
        <w:keepNext/>
        <w:spacing w:after="240"/>
      </w:pP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4400"/>
        <w:gridCol w:w="400"/>
        <w:gridCol w:w="4400"/>
      </w:tblGrid>
      <w:tr>
        <w:trPr>
          <w:cantSplit/>
        </w:trPr>
        <w:tc>
          <w:tcPr>
            <w:tcW w:type="dxa" w:w="4400"/>
            <w:tcBorders>
              <w:top w:val="none" w:color="FFFFFF" w:sz="0"/>
              <w:left w:val="none" w:color="FFFFFF" w:sz="0"/>
              <w:bottom w:val="none" w:color="FFFFFF" w:sz="0"/>
              <w:right w:val="none" w:color="FFFFFF" w:sz="0"/>
            </w:tcBorders>
          </w:tcPr>
          <w:p>
            <w:pPr>
              <w:spacing w:after="60"/>
            </w:pPr>
            <w:r>
              <w:rPr>
                <w:rFonts w:ascii="Arial" w:cs="Arial" w:eastAsia="Arial" w:hAnsi="Arial"/>
                <w:b/>
                <w:bCs/>
                <w:color w:val="1A1A1A"/>
                <w:sz w:val="20"/>
                <w:szCs w:val="20"/>
              </w:rPr>
              <w:t xml:space="preserve">Für den Auftraggeber</w:t>
            </w:r>
          </w:p>
          <w:p>
            <w:pPr>
              <w:spacing w:after="120"/>
            </w:pPr>
            <w:r>
              <w:rPr>
                <w:rFonts w:ascii="Arial" w:cs="Arial" w:eastAsia="Arial" w:hAnsi="Arial"/>
                <w:color w:val="5A5A5A"/>
                <w:sz w:val="18"/>
                <w:szCs w:val="18"/>
                <w:highlight w:val="yellow"/>
                <w:highlightCs w:val="yellow"/>
              </w:rPr>
              <w:t xml:space="preserve">[Firma des Auftraggebers]</w:t>
            </w:r>
          </w:p>
          <w:p>
            <w:pPr>
              <w:spacing w:after="480"/>
            </w:pPr>
            <w:r>
              <w:rPr>
                <w:rFonts w:ascii="Arial" w:cs="Arial" w:eastAsia="Arial" w:hAnsi="Arial"/>
                <w:sz w:val="20"/>
                <w:szCs w:val="20"/>
              </w:rPr>
              <w:t xml:space="preserve"> </w:t>
            </w:r>
          </w:p>
          <w:p>
            <w:pPr>
              <w:pBdr>
                <w:top w:val="single" w:color="1A1A1A" w:sz="6" w:space="4"/>
              </w:pBdr>
              <w:spacing w:after="60"/>
            </w:pPr>
            <w:r>
              <w:rPr>
                <w:rFonts w:ascii="Arial" w:cs="Arial" w:eastAsia="Arial" w:hAnsi="Arial"/>
                <w:color w:val="5A5A5A"/>
                <w:sz w:val="16"/>
                <w:szCs w:val="16"/>
              </w:rPr>
              <w:t xml:space="preserve">Ort, Datum</w:t>
            </w:r>
          </w:p>
          <w:p>
            <w:pPr>
              <w:spacing w:after="480"/>
            </w:pPr>
            <w:r>
              <w:rPr>
                <w:rFonts w:ascii="Arial" w:cs="Arial" w:eastAsia="Arial" w:hAnsi="Arial"/>
                <w:sz w:val="20"/>
                <w:szCs w:val="20"/>
              </w:rPr>
              <w:t xml:space="preserve"> </w:t>
            </w:r>
          </w:p>
          <w:p>
            <w:pPr>
              <w:pBdr>
                <w:top w:val="single" w:color="1A1A1A" w:sz="6" w:space="4"/>
              </w:pBdr>
              <w:spacing w:after="60"/>
            </w:pPr>
            <w:r>
              <w:rPr>
                <w:rFonts w:ascii="Arial" w:cs="Arial" w:eastAsia="Arial" w:hAnsi="Arial"/>
                <w:color w:val="5A5A5A"/>
                <w:sz w:val="16"/>
                <w:szCs w:val="16"/>
              </w:rPr>
              <w:t xml:space="preserve">Unterschrift, Name in Druckbuchstaben, Funktion</w:t>
            </w:r>
          </w:p>
        </w:tc>
        <w:tc>
          <w:tcPr>
            <w:tcW w:type="dxa" w:w="400"/>
            <w:tcBorders>
              <w:top w:val="none" w:color="FFFFFF" w:sz="0"/>
              <w:left w:val="none" w:color="FFFFFF" w:sz="0"/>
              <w:bottom w:val="none" w:color="FFFFFF" w:sz="0"/>
              <w:right w:val="none" w:color="FFFFFF" w:sz="0"/>
            </w:tcBorders>
          </w:tcPr>
          <w:p/>
        </w:tc>
        <w:tc>
          <w:tcPr>
            <w:tcW w:type="dxa" w:w="4400"/>
            <w:tcBorders>
              <w:top w:val="none" w:color="FFFFFF" w:sz="0"/>
              <w:left w:val="none" w:color="FFFFFF" w:sz="0"/>
              <w:bottom w:val="none" w:color="FFFFFF" w:sz="0"/>
              <w:right w:val="none" w:color="FFFFFF" w:sz="0"/>
            </w:tcBorders>
          </w:tcPr>
          <w:p>
            <w:pPr>
              <w:spacing w:after="60"/>
            </w:pPr>
            <w:r>
              <w:rPr>
                <w:rFonts w:ascii="Arial" w:cs="Arial" w:eastAsia="Arial" w:hAnsi="Arial"/>
                <w:b/>
                <w:bCs/>
                <w:color w:val="1A1A1A"/>
                <w:sz w:val="20"/>
                <w:szCs w:val="20"/>
              </w:rPr>
              <w:t xml:space="preserve">Für den Auftragsverarbeiter</w:t>
            </w:r>
          </w:p>
          <w:p>
            <w:pPr>
              <w:spacing w:after="120"/>
            </w:pPr>
            <w:r>
              <w:rPr>
                <w:rFonts w:ascii="Arial" w:cs="Arial" w:eastAsia="Arial" w:hAnsi="Arial"/>
                <w:color w:val="5A5A5A"/>
                <w:sz w:val="18"/>
                <w:szCs w:val="18"/>
              </w:rPr>
              <w:t xml:space="preserve">Arian Kabiri, AKFIN</w:t>
            </w:r>
          </w:p>
          <w:p>
            <w:pPr>
              <w:spacing w:after="480"/>
            </w:pPr>
            <w:r>
              <w:rPr>
                <w:rFonts w:ascii="Arial" w:cs="Arial" w:eastAsia="Arial" w:hAnsi="Arial"/>
                <w:sz w:val="20"/>
                <w:szCs w:val="20"/>
              </w:rPr>
              <w:t xml:space="preserve"> </w:t>
            </w:r>
          </w:p>
          <w:p>
            <w:pPr>
              <w:pBdr>
                <w:top w:val="single" w:color="1A1A1A" w:sz="6" w:space="4"/>
              </w:pBdr>
              <w:spacing w:after="60"/>
            </w:pPr>
            <w:r>
              <w:rPr>
                <w:rFonts w:ascii="Arial" w:cs="Arial" w:eastAsia="Arial" w:hAnsi="Arial"/>
                <w:color w:val="5A5A5A"/>
                <w:sz w:val="16"/>
                <w:szCs w:val="16"/>
              </w:rPr>
              <w:t xml:space="preserve">Ort, Datum</w:t>
            </w:r>
          </w:p>
          <w:p>
            <w:pPr>
              <w:spacing w:after="480"/>
            </w:pPr>
            <w:r>
              <w:rPr>
                <w:rFonts w:ascii="Arial" w:cs="Arial" w:eastAsia="Arial" w:hAnsi="Arial"/>
                <w:sz w:val="20"/>
                <w:szCs w:val="20"/>
              </w:rPr>
              <w:t xml:space="preserve"> </w:t>
            </w:r>
          </w:p>
          <w:p>
            <w:pPr>
              <w:pBdr>
                <w:top w:val="single" w:color="1A1A1A" w:sz="6" w:space="4"/>
              </w:pBdr>
              <w:spacing w:after="60"/>
            </w:pPr>
            <w:r>
              <w:rPr>
                <w:rFonts w:ascii="Arial" w:cs="Arial" w:eastAsia="Arial" w:hAnsi="Arial"/>
                <w:color w:val="5A5A5A"/>
                <w:sz w:val="16"/>
                <w:szCs w:val="16"/>
              </w:rPr>
              <w:t xml:space="preserve">Unterschrift, Name in Druckbuchstaben, Funktion</w:t>
            </w:r>
          </w:p>
        </w:tc>
      </w:tr>
    </w:tbl>
    <w:p>
      <w:pPr>
        <w:pStyle w:val="Heading1"/>
        <w:pageBreakBefore/>
        <w:spacing w:after="60"/>
      </w:pPr>
      <w:r>
        <w:rPr>
          <w:rFonts w:ascii="Arial" w:cs="Arial" w:eastAsia="Arial" w:hAnsi="Arial"/>
          <w:b/>
          <w:bCs/>
          <w:color w:val="1A1A1A"/>
          <w:sz w:val="28"/>
          <w:szCs w:val="28"/>
        </w:rPr>
        <w:t xml:space="preserve">Anlage 1</w:t>
      </w:r>
    </w:p>
    <w:p>
      <w:pPr>
        <w:pBdr>
          <w:bottom w:val="single" w:color="BFBFBF" w:sz="6" w:space="6"/>
        </w:pBdr>
        <w:spacing w:after="240"/>
      </w:pPr>
      <w:r>
        <w:rPr>
          <w:rFonts w:ascii="Arial" w:cs="Arial" w:eastAsia="Arial" w:hAnsi="Arial"/>
          <w:color w:val="5A5A5A"/>
          <w:sz w:val="20"/>
          <w:szCs w:val="20"/>
        </w:rPr>
        <w:t xml:space="preserve">Gegenstand, Art und Zweck der Verarbeitung, Art der Daten, betroffene Personen</w:t>
      </w:r>
    </w:p>
    <w:p>
      <w:pPr>
        <w:pStyle w:val="Heading3"/>
        <w:keepNext/>
        <w:spacing w:after="80" w:before="200"/>
      </w:pPr>
      <w:r>
        <w:rPr>
          <w:rFonts w:ascii="Arial" w:cs="Arial" w:eastAsia="Arial" w:hAnsi="Arial"/>
          <w:b/>
          <w:bCs/>
          <w:color w:val="1A1A1A"/>
          <w:sz w:val="20"/>
          <w:szCs w:val="20"/>
        </w:rPr>
        <w:t xml:space="preserve">1. Gegenstand</w:t>
      </w:r>
    </w:p>
    <w:p>
      <w:pPr>
        <w:spacing w:after="120" w:before="0" w:line="276"/>
        <w:jc w:val="both"/>
      </w:pPr>
      <w:r>
        <w:rPr>
          <w:rFonts w:ascii="Arial" w:cs="Arial" w:eastAsia="Arial" w:hAnsi="Arial"/>
          <w:color w:val="1A1A1A"/>
          <w:sz w:val="20"/>
          <w:szCs w:val="20"/>
        </w:rPr>
        <w:t xml:space="preserve">S1-Audit: Auswertung eines vom Auftraggeber ausgewählten Ausschnitts seiner Eingangsrechnungen (in der Regel drei Monate) daraufhin, welche Skonti nicht gezogen wurden, aus welchen Ursachen und mit welchen Maßnahmen sich das ändern lässt. Der Audit ist für den Auftraggeber kostenlos. Er dauert von der ersten Übergabe der Belege bis zur Löschung nach § 10.</w:t>
      </w:r>
    </w:p>
    <w:p>
      <w:pPr>
        <w:pStyle w:val="Heading3"/>
        <w:keepNext/>
        <w:spacing w:after="80" w:before="200"/>
      </w:pPr>
      <w:r>
        <w:rPr>
          <w:rFonts w:ascii="Arial" w:cs="Arial" w:eastAsia="Arial" w:hAnsi="Arial"/>
          <w:b/>
          <w:bCs/>
          <w:color w:val="1A1A1A"/>
          <w:sz w:val="20"/>
          <w:szCs w:val="20"/>
        </w:rPr>
        <w:t xml:space="preserve">2. Art der Verarbeitung</w:t>
      </w:r>
    </w:p>
    <w:p>
      <w:pPr>
        <w:pStyle w:val="ListParagraph"/>
        <w:numPr>
          <w:ilvl w:val="0"/>
          <w:numId w:val="2"/>
        </w:numPr>
        <w:spacing w:after="80" w:line="276"/>
        <w:jc w:val="left"/>
      </w:pPr>
      <w:r>
        <w:rPr>
          <w:rFonts w:ascii="Arial" w:cs="Arial" w:eastAsia="Arial" w:hAnsi="Arial"/>
          <w:color w:val="1A1A1A"/>
          <w:sz w:val="20"/>
          <w:szCs w:val="20"/>
        </w:rPr>
        <w:t xml:space="preserve">Entgegennahme der Belege sowie der Zahlungs- und Freigabedaten</w:t>
      </w:r>
    </w:p>
    <w:p>
      <w:pPr>
        <w:pStyle w:val="ListParagraph"/>
        <w:numPr>
          <w:ilvl w:val="0"/>
          <w:numId w:val="2"/>
        </w:numPr>
        <w:spacing w:after="80" w:line="276"/>
        <w:jc w:val="left"/>
      </w:pPr>
      <w:r>
        <w:rPr>
          <w:rFonts w:ascii="Arial" w:cs="Arial" w:eastAsia="Arial" w:hAnsi="Arial"/>
          <w:color w:val="1A1A1A"/>
          <w:sz w:val="20"/>
          <w:szCs w:val="20"/>
        </w:rPr>
        <w:t xml:space="preserve">Speicherung für die Dauer des Audits</w:t>
      </w:r>
    </w:p>
    <w:p>
      <w:pPr>
        <w:pStyle w:val="ListParagraph"/>
        <w:numPr>
          <w:ilvl w:val="0"/>
          <w:numId w:val="2"/>
        </w:numPr>
        <w:spacing w:after="80" w:line="276"/>
        <w:jc w:val="left"/>
      </w:pPr>
      <w:r>
        <w:rPr>
          <w:rFonts w:ascii="Arial" w:cs="Arial" w:eastAsia="Arial" w:hAnsi="Arial"/>
          <w:color w:val="1A1A1A"/>
          <w:sz w:val="20"/>
          <w:szCs w:val="20"/>
        </w:rPr>
        <w:t xml:space="preserve">Auslesen der Zahlungskonditionen aus den Belegen, teils automatisiert mit einem Sprachmodell; unsichere Ergebnisse prüft der Auftragsverarbeiter manuell</w:t>
      </w:r>
    </w:p>
    <w:p>
      <w:pPr>
        <w:pStyle w:val="ListParagraph"/>
        <w:numPr>
          <w:ilvl w:val="0"/>
          <w:numId w:val="2"/>
        </w:numPr>
        <w:spacing w:after="80" w:line="276"/>
        <w:jc w:val="left"/>
      </w:pPr>
      <w:r>
        <w:rPr>
          <w:rFonts w:ascii="Arial" w:cs="Arial" w:eastAsia="Arial" w:hAnsi="Arial"/>
          <w:color w:val="1A1A1A"/>
          <w:sz w:val="20"/>
          <w:szCs w:val="20"/>
        </w:rPr>
        <w:t xml:space="preserve">Abgleich der Konditionen mit dem tatsächlichen Zahlungszeitpunkt und Auswertung der Ursachen</w:t>
      </w:r>
    </w:p>
    <w:p>
      <w:pPr>
        <w:pStyle w:val="ListParagraph"/>
        <w:numPr>
          <w:ilvl w:val="0"/>
          <w:numId w:val="2"/>
        </w:numPr>
        <w:spacing w:after="80" w:line="276"/>
        <w:jc w:val="left"/>
      </w:pPr>
      <w:r>
        <w:rPr>
          <w:rFonts w:ascii="Arial" w:cs="Arial" w:eastAsia="Arial" w:hAnsi="Arial"/>
          <w:color w:val="1A1A1A"/>
          <w:sz w:val="20"/>
          <w:szCs w:val="20"/>
        </w:rPr>
        <w:t xml:space="preserve">Erstellung und Übermittlung eines Berichts an den Auftraggeber</w:t>
      </w:r>
    </w:p>
    <w:p>
      <w:pPr>
        <w:pStyle w:val="ListParagraph"/>
        <w:numPr>
          <w:ilvl w:val="0"/>
          <w:numId w:val="2"/>
        </w:numPr>
        <w:spacing w:after="80" w:line="276"/>
        <w:jc w:val="left"/>
      </w:pPr>
      <w:r>
        <w:rPr>
          <w:rFonts w:ascii="Arial" w:cs="Arial" w:eastAsia="Arial" w:hAnsi="Arial"/>
          <w:color w:val="1A1A1A"/>
          <w:sz w:val="20"/>
          <w:szCs w:val="20"/>
        </w:rPr>
        <w:t xml:space="preserve">Löschung nach § 10</w:t>
      </w:r>
    </w:p>
    <w:p>
      <w:pPr>
        <w:spacing w:after="120" w:before="60" w:line="276"/>
        <w:jc w:val="both"/>
      </w:pPr>
      <w:r>
        <w:rPr>
          <w:rFonts w:ascii="Arial" w:cs="Arial" w:eastAsia="Arial" w:hAnsi="Arial"/>
          <w:color w:val="1A1A1A"/>
          <w:sz w:val="20"/>
          <w:szCs w:val="20"/>
        </w:rPr>
        <w:t xml:space="preserve">Über Zahlungen entscheidet ausschließlich der Auftraggeber. Der Auftragsverarbeiter löst keine Zahlungen aus und hat keinen Zugriff auf Bankkonten oder Systeme des Auftraggebers.</w:t>
      </w:r>
    </w:p>
    <w:p>
      <w:pPr>
        <w:pStyle w:val="Heading3"/>
        <w:keepNext/>
        <w:spacing w:after="80" w:before="200"/>
      </w:pPr>
      <w:r>
        <w:rPr>
          <w:rFonts w:ascii="Arial" w:cs="Arial" w:eastAsia="Arial" w:hAnsi="Arial"/>
          <w:b/>
          <w:bCs/>
          <w:color w:val="1A1A1A"/>
          <w:sz w:val="20"/>
          <w:szCs w:val="20"/>
        </w:rPr>
        <w:t xml:space="preserve">3. Zweck</w:t>
      </w:r>
    </w:p>
    <w:p>
      <w:pPr>
        <w:spacing w:after="120" w:before="0" w:line="276"/>
        <w:jc w:val="both"/>
      </w:pPr>
      <w:r>
        <w:rPr>
          <w:rFonts w:ascii="Arial" w:cs="Arial" w:eastAsia="Arial" w:hAnsi="Arial"/>
          <w:color w:val="1A1A1A"/>
          <w:sz w:val="20"/>
          <w:szCs w:val="20"/>
        </w:rPr>
        <w:t xml:space="preserve">Ermittlung der entgangenen Skonti je Beleg, ihrer Ursachen (etwa verspätete Erfassung, Zahllauf-Rhythmus, Freigabedauer) und priorisierter Handlungsempfehlungen für den Auftraggeber.</w:t>
      </w:r>
    </w:p>
    <w:p>
      <w:pPr>
        <w:pStyle w:val="Heading3"/>
        <w:keepNext/>
        <w:spacing w:after="80" w:before="200"/>
      </w:pPr>
      <w:r>
        <w:rPr>
          <w:rFonts w:ascii="Arial" w:cs="Arial" w:eastAsia="Arial" w:hAnsi="Arial"/>
          <w:b/>
          <w:bCs/>
          <w:color w:val="1A1A1A"/>
          <w:sz w:val="20"/>
          <w:szCs w:val="20"/>
        </w:rPr>
        <w:t xml:space="preserve">4. Art der personenbezogenen Daten</w:t>
      </w:r>
    </w:p>
    <w:p>
      <w:pPr>
        <w:pStyle w:val="ListParagraph"/>
        <w:numPr>
          <w:ilvl w:val="0"/>
          <w:numId w:val="2"/>
        </w:numPr>
        <w:spacing w:after="80" w:line="276"/>
        <w:jc w:val="left"/>
      </w:pPr>
      <w:r>
        <w:rPr>
          <w:rFonts w:ascii="Arial" w:cs="Arial" w:eastAsia="Arial" w:hAnsi="Arial"/>
          <w:b/>
          <w:bCs/>
          <w:color w:val="1A1A1A"/>
          <w:sz w:val="20"/>
          <w:szCs w:val="20"/>
        </w:rPr>
        <w:t xml:space="preserve">Rechnungsdaten:</w:t>
      </w:r>
      <w:r>
        <w:rPr>
          <w:rFonts w:ascii="Arial" w:cs="Arial" w:eastAsia="Arial" w:hAnsi="Arial"/>
          <w:color w:val="1A1A1A"/>
          <w:sz w:val="20"/>
          <w:szCs w:val="20"/>
        </w:rPr>
        <w:t xml:space="preserve"> Rechnungsnummer und -datum, Name und Anschrift des Lieferanten, Steuernummer oder Umsatzsteuer-Identifikationsnummer des Lieferanten, Beträge, Zahlungsbedingungen und Fristen, auf dem Beleg genannte Ansprechpartner mit Kontaktdaten, Bankverbindung des Lieferanten</w:t>
      </w:r>
    </w:p>
    <w:p>
      <w:pPr>
        <w:pStyle w:val="ListParagraph"/>
        <w:numPr>
          <w:ilvl w:val="0"/>
          <w:numId w:val="2"/>
        </w:numPr>
        <w:spacing w:after="80" w:line="276"/>
        <w:jc w:val="left"/>
      </w:pPr>
      <w:r>
        <w:rPr>
          <w:rFonts w:ascii="Arial" w:cs="Arial" w:eastAsia="Arial" w:hAnsi="Arial"/>
          <w:b/>
          <w:bCs/>
          <w:color w:val="1A1A1A"/>
          <w:sz w:val="20"/>
          <w:szCs w:val="20"/>
        </w:rPr>
        <w:t xml:space="preserve">Zahlungs- und Buchungsdaten:</w:t>
      </w:r>
      <w:r>
        <w:rPr>
          <w:rFonts w:ascii="Arial" w:cs="Arial" w:eastAsia="Arial" w:hAnsi="Arial"/>
          <w:color w:val="1A1A1A"/>
          <w:sz w:val="20"/>
          <w:szCs w:val="20"/>
        </w:rPr>
        <w:t xml:space="preserve"> Erfassungs-, Freigabe- und Zahlungsdatum, gezahlter Betrag, Verwendungszweck, soweit übergeben</w:t>
      </w:r>
    </w:p>
    <w:p>
      <w:pPr>
        <w:pStyle w:val="ListParagraph"/>
        <w:numPr>
          <w:ilvl w:val="0"/>
          <w:numId w:val="2"/>
        </w:numPr>
        <w:spacing w:after="80" w:line="276"/>
        <w:jc w:val="left"/>
      </w:pPr>
      <w:r>
        <w:rPr>
          <w:rFonts w:ascii="Arial" w:cs="Arial" w:eastAsia="Arial" w:hAnsi="Arial"/>
          <w:b/>
          <w:bCs/>
          <w:color w:val="1A1A1A"/>
          <w:sz w:val="20"/>
          <w:szCs w:val="20"/>
        </w:rPr>
        <w:t xml:space="preserve">Freigabedaten:</w:t>
      </w:r>
      <w:r>
        <w:rPr>
          <w:rFonts w:ascii="Arial" w:cs="Arial" w:eastAsia="Arial" w:hAnsi="Arial"/>
          <w:color w:val="1A1A1A"/>
          <w:sz w:val="20"/>
          <w:szCs w:val="20"/>
        </w:rPr>
        <w:t xml:space="preserve"> Name oder Kennung der freigebenden Beschäftigten, soweit der Auftraggeber sie übergibt</w:t>
      </w:r>
    </w:p>
    <w:p>
      <w:pPr>
        <w:spacing w:after="120" w:before="60" w:line="276"/>
        <w:jc w:val="both"/>
      </w:pPr>
      <w:r>
        <w:rPr>
          <w:rFonts w:ascii="Arial" w:cs="Arial" w:eastAsia="Arial" w:hAnsi="Arial"/>
          <w:color w:val="1A1A1A"/>
          <w:sz w:val="20"/>
          <w:szCs w:val="20"/>
        </w:rPr>
        <w:t xml:space="preserve">Besondere Kategorien personenbezogener Daten nach Art. 9 DSGVO sind nicht Gegenstand der Verarbeitung. Der Auftraggeber übergibt keine Belege, aus denen sich solche Daten ergeben, etwa Rechnungen über Gesundheitsleistungen für Beschäftigte.</w:t>
      </w:r>
    </w:p>
    <w:p>
      <w:pPr>
        <w:pStyle w:val="Heading3"/>
        <w:keepNext/>
        <w:spacing w:after="80" w:before="200"/>
      </w:pPr>
      <w:r>
        <w:rPr>
          <w:rFonts w:ascii="Arial" w:cs="Arial" w:eastAsia="Arial" w:hAnsi="Arial"/>
          <w:b/>
          <w:bCs/>
          <w:color w:val="1A1A1A"/>
          <w:sz w:val="20"/>
          <w:szCs w:val="20"/>
        </w:rPr>
        <w:t xml:space="preserve">5. Kategorien betroffener Personen</w:t>
      </w:r>
    </w:p>
    <w:p>
      <w:pPr>
        <w:pStyle w:val="ListParagraph"/>
        <w:numPr>
          <w:ilvl w:val="0"/>
          <w:numId w:val="2"/>
        </w:numPr>
        <w:spacing w:after="80" w:line="276"/>
        <w:jc w:val="left"/>
      </w:pPr>
      <w:r>
        <w:rPr>
          <w:rFonts w:ascii="Arial" w:cs="Arial" w:eastAsia="Arial" w:hAnsi="Arial"/>
          <w:color w:val="1A1A1A"/>
          <w:sz w:val="20"/>
          <w:szCs w:val="20"/>
        </w:rPr>
        <w:t xml:space="preserve">Lieferanten, soweit sie natürliche Personen sind, etwa Einzelunternehmer</w:t>
      </w:r>
    </w:p>
    <w:p>
      <w:pPr>
        <w:pStyle w:val="ListParagraph"/>
        <w:numPr>
          <w:ilvl w:val="0"/>
          <w:numId w:val="2"/>
        </w:numPr>
        <w:spacing w:after="80" w:line="276"/>
        <w:jc w:val="left"/>
      </w:pPr>
      <w:r>
        <w:rPr>
          <w:rFonts w:ascii="Arial" w:cs="Arial" w:eastAsia="Arial" w:hAnsi="Arial"/>
          <w:color w:val="1A1A1A"/>
          <w:sz w:val="20"/>
          <w:szCs w:val="20"/>
        </w:rPr>
        <w:t xml:space="preserve">Ansprechpartner und Beschäftigte von Lieferanten</w:t>
      </w:r>
    </w:p>
    <w:p>
      <w:pPr>
        <w:pStyle w:val="ListParagraph"/>
        <w:numPr>
          <w:ilvl w:val="0"/>
          <w:numId w:val="2"/>
        </w:numPr>
        <w:spacing w:after="80" w:line="276"/>
        <w:jc w:val="left"/>
      </w:pPr>
      <w:r>
        <w:rPr>
          <w:rFonts w:ascii="Arial" w:cs="Arial" w:eastAsia="Arial" w:hAnsi="Arial"/>
          <w:color w:val="1A1A1A"/>
          <w:sz w:val="20"/>
          <w:szCs w:val="20"/>
        </w:rPr>
        <w:t xml:space="preserve">Beschäftigte des Auftraggebers, soweit sie auf Belegen oder in Freigabedaten genannt sind</w:t>
      </w:r>
    </w:p>
    <w:p>
      <w:pPr>
        <w:pStyle w:val="Heading3"/>
        <w:keepNext/>
        <w:spacing w:after="80" w:before="200"/>
      </w:pPr>
      <w:r>
        <w:rPr>
          <w:rFonts w:ascii="Arial" w:cs="Arial" w:eastAsia="Arial" w:hAnsi="Arial"/>
          <w:b/>
          <w:bCs/>
          <w:color w:val="1A1A1A"/>
          <w:sz w:val="20"/>
          <w:szCs w:val="20"/>
        </w:rPr>
        <w:t xml:space="preserve">6. Übergabe der Belege</w:t>
      </w:r>
    </w:p>
    <w:p>
      <w:pPr>
        <w:spacing w:after="120" w:before="0" w:line="276"/>
        <w:jc w:val="both"/>
      </w:pPr>
      <w:r>
        <w:rPr>
          <w:rFonts w:ascii="Arial" w:cs="Arial" w:eastAsia="Arial" w:hAnsi="Arial"/>
          <w:color w:val="1A1A1A"/>
          <w:sz w:val="20"/>
          <w:szCs w:val="20"/>
        </w:rPr>
        <w:t xml:space="preserve">Die Belege werden verschlüsselt übergeben: entweder über einen Übertragungsweg, den der Auftraggeber bereitstellt, oder als verschlüsseltes Archiv (AES-256) per E-Mail, dessen Passwort auf einem anderen Weg mitgeteilt wird. Unverschlüsselte E-Mail-Anhänge werden nicht genutzt.</w:t>
      </w:r>
    </w:p>
    <w:p>
      <w:pPr>
        <w:pStyle w:val="Heading1"/>
        <w:pageBreakBefore/>
        <w:spacing w:after="60"/>
      </w:pPr>
      <w:r>
        <w:rPr>
          <w:rFonts w:ascii="Arial" w:cs="Arial" w:eastAsia="Arial" w:hAnsi="Arial"/>
          <w:b/>
          <w:bCs/>
          <w:color w:val="1A1A1A"/>
          <w:sz w:val="28"/>
          <w:szCs w:val="28"/>
        </w:rPr>
        <w:t xml:space="preserve">Anlage 2</w:t>
      </w:r>
    </w:p>
    <w:p>
      <w:pPr>
        <w:pBdr>
          <w:bottom w:val="single" w:color="BFBFBF" w:sz="6" w:space="6"/>
        </w:pBdr>
        <w:spacing w:after="240"/>
      </w:pPr>
      <w:r>
        <w:rPr>
          <w:rFonts w:ascii="Arial" w:cs="Arial" w:eastAsia="Arial" w:hAnsi="Arial"/>
          <w:color w:val="5A5A5A"/>
          <w:sz w:val="20"/>
          <w:szCs w:val="20"/>
        </w:rPr>
        <w:t xml:space="preserve">Technische und organisatorische Maßnahmen nach Art. 32 DSGVO</w:t>
      </w:r>
    </w:p>
    <w:p>
      <w:pPr>
        <w:spacing w:after="120" w:before="0" w:line="276"/>
        <w:jc w:val="both"/>
      </w:pPr>
      <w:r>
        <w:rPr>
          <w:rFonts w:ascii="Arial" w:cs="Arial" w:eastAsia="Arial" w:hAnsi="Arial"/>
          <w:color w:val="1A1A1A"/>
          <w:sz w:val="20"/>
          <w:szCs w:val="20"/>
        </w:rPr>
        <w:t xml:space="preserve">Der Audit wird von einer Person auf einem Arbeitsgerät durchgeführt. Die folgenden Maßnahmen sind auf diesen Aufbau zugeschnitten und vor jedem Audit umgesetzt.</w:t>
      </w:r>
    </w:p>
    <w:p>
      <w:pPr>
        <w:pStyle w:val="Heading3"/>
        <w:keepNext/>
        <w:spacing w:after="80" w:before="200"/>
      </w:pPr>
      <w:r>
        <w:rPr>
          <w:rFonts w:ascii="Arial" w:cs="Arial" w:eastAsia="Arial" w:hAnsi="Arial"/>
          <w:b/>
          <w:bCs/>
          <w:color w:val="1A1A1A"/>
          <w:sz w:val="20"/>
          <w:szCs w:val="20"/>
        </w:rPr>
        <w:t xml:space="preserve">1. Vertraulichkeit</w:t>
      </w:r>
    </w:p>
    <w:p>
      <w:pPr>
        <w:pStyle w:val="ListParagraph"/>
        <w:numPr>
          <w:ilvl w:val="0"/>
          <w:numId w:val="2"/>
        </w:numPr>
        <w:spacing w:after="80" w:line="276"/>
        <w:jc w:val="left"/>
      </w:pPr>
      <w:r>
        <w:rPr>
          <w:rFonts w:ascii="Arial" w:cs="Arial" w:eastAsia="Arial" w:hAnsi="Arial"/>
          <w:b/>
          <w:bCs/>
          <w:color w:val="1A1A1A"/>
          <w:sz w:val="20"/>
          <w:szCs w:val="20"/>
        </w:rPr>
        <w:t xml:space="preserve">Zutritt und Gerät:</w:t>
      </w:r>
      <w:r>
        <w:rPr>
          <w:rFonts w:ascii="Arial" w:cs="Arial" w:eastAsia="Arial" w:hAnsi="Arial"/>
          <w:color w:val="1A1A1A"/>
          <w:sz w:val="20"/>
          <w:szCs w:val="20"/>
        </w:rPr>
        <w:t xml:space="preserve"> Die Verarbeitung erfolgt ausschließlich auf einem Notebook, das dem Auftragsverarbeiter gehört und nur von ihm genutzt wird. Keine Verarbeitung auf Geräten Dritter. Das Gerät wird nicht entsperrt unbeaufsichtigt gelassen und für den Audit nicht in öffentlich zugänglichen Räumen genutzt.</w:t>
      </w:r>
    </w:p>
    <w:p>
      <w:pPr>
        <w:pStyle w:val="ListParagraph"/>
        <w:numPr>
          <w:ilvl w:val="0"/>
          <w:numId w:val="2"/>
        </w:numPr>
        <w:spacing w:after="80" w:line="276"/>
        <w:jc w:val="left"/>
      </w:pPr>
      <w:r>
        <w:rPr>
          <w:rFonts w:ascii="Arial" w:cs="Arial" w:eastAsia="Arial" w:hAnsi="Arial"/>
          <w:b/>
          <w:bCs/>
          <w:color w:val="1A1A1A"/>
          <w:sz w:val="20"/>
          <w:szCs w:val="20"/>
        </w:rPr>
        <w:t>Zugang: Vollständige Verschlüsselung des Datenträgers; Anmeldung mit starkem Passwort oder biometrisch; automatische Sperre nach höchstens fünf Minuten Inaktivität; Zwei-Faktor-Authentifizierung für alle Konten, über die Auftragsdaten laufen (E-Mail, Konto beim Anbieter des Sprachmodells).</w:t>
      </w:r>
    </w:p>
    <w:p>
      <w:pPr>
        <w:pStyle w:val="ListParagraph"/>
        <w:numPr>
          <w:ilvl w:val="0"/>
          <w:numId w:val="2"/>
        </w:numPr>
        <w:spacing w:after="80" w:line="276"/>
        <w:jc w:val="left"/>
      </w:pPr>
      <w:r>
        <w:rPr>
          <w:rFonts w:ascii="Arial" w:cs="Arial" w:eastAsia="Arial" w:hAnsi="Arial"/>
          <w:b/>
          <w:bCs/>
          <w:color w:val="1A1A1A"/>
          <w:sz w:val="20"/>
          <w:szCs w:val="20"/>
        </w:rPr>
        <w:t xml:space="preserve">Zugriff:</w:t>
      </w:r>
      <w:r>
        <w:rPr>
          <w:rFonts w:ascii="Arial" w:cs="Arial" w:eastAsia="Arial" w:hAnsi="Arial"/>
          <w:color w:val="1A1A1A"/>
          <w:sz w:val="20"/>
          <w:szCs w:val="20"/>
        </w:rPr>
        <w:t xml:space="preserve"> Zugriff hat ausschließlich Arian Kabiri. Die Daten liegen je Auftraggeber in einem eigenen Verzeichnis, das von Cloud-Synchronisation und Cloud-Sicherungen ausgenommen ist.</w:t>
      </w:r>
    </w:p>
    <w:p>
      <w:pPr>
        <w:pStyle w:val="ListParagraph"/>
        <w:numPr>
          <w:ilvl w:val="0"/>
          <w:numId w:val="2"/>
        </w:numPr>
        <w:spacing w:after="80" w:line="276"/>
        <w:jc w:val="left"/>
      </w:pPr>
      <w:r>
        <w:rPr>
          <w:rFonts w:ascii="Arial" w:cs="Arial" w:eastAsia="Arial" w:hAnsi="Arial"/>
          <w:b/>
          <w:bCs/>
          <w:color w:val="1A1A1A"/>
          <w:sz w:val="20"/>
          <w:szCs w:val="20"/>
        </w:rPr>
        <w:t xml:space="preserve">Trennung:</w:t>
      </w:r>
      <w:r>
        <w:rPr>
          <w:rFonts w:ascii="Arial" w:cs="Arial" w:eastAsia="Arial" w:hAnsi="Arial"/>
          <w:color w:val="1A1A1A"/>
          <w:sz w:val="20"/>
          <w:szCs w:val="20"/>
        </w:rPr>
        <w:t xml:space="preserve"> Daten verschiedener Auftraggeber werden getrennt verarbeitet. Sie gelangen nicht in Entwicklungs-, Test- oder Benchmark-Umgebungen.</w:t>
      </w:r>
    </w:p>
    <w:p>
      <w:pPr>
        <w:pStyle w:val="ListParagraph"/>
        <w:numPr>
          <w:ilvl w:val="0"/>
          <w:numId w:val="2"/>
        </w:numPr>
        <w:spacing w:after="80" w:line="276"/>
        <w:jc w:val="left"/>
      </w:pPr>
      <w:r>
        <w:rPr>
          <w:rFonts w:ascii="Arial" w:cs="Arial" w:eastAsia="Arial" w:hAnsi="Arial"/>
          <w:b/>
          <w:bCs/>
          <w:color w:val="1A1A1A"/>
          <w:sz w:val="20"/>
          <w:szCs w:val="20"/>
        </w:rPr>
        <w:t>Verschlüsselung und Datensparsamkeit: Übertragungen erfolgen ausschließlich verschlüsselt (TLS). Der Bericht wird als verschlüsselte PDF-Datei (AES-256) übermittelt, das Passwort auf einem anderen Weg. Das Sprachmodell erhält nur den Beleg als Text oder Bild, keine Zahlungs- oder Freigabedaten.</w:t>
      </w:r>
    </w:p>
    <w:p>
      <w:pPr>
        <w:pStyle w:val="Heading3"/>
        <w:keepNext/>
        <w:spacing w:after="80" w:before="200"/>
      </w:pPr>
      <w:r>
        <w:rPr>
          <w:rFonts w:ascii="Arial" w:cs="Arial" w:eastAsia="Arial" w:hAnsi="Arial"/>
          <w:b/>
          <w:bCs/>
          <w:color w:val="1A1A1A"/>
          <w:sz w:val="20"/>
          <w:szCs w:val="20"/>
        </w:rPr>
        <w:t xml:space="preserve">2. Integrität</w:t>
      </w:r>
    </w:p>
    <w:p>
      <w:pPr>
        <w:pStyle w:val="ListParagraph"/>
        <w:numPr>
          <w:ilvl w:val="0"/>
          <w:numId w:val="2"/>
        </w:numPr>
        <w:spacing w:after="80" w:line="276"/>
        <w:jc w:val="left"/>
      </w:pPr>
      <w:r>
        <w:rPr>
          <w:rFonts w:ascii="Arial" w:cs="Arial" w:eastAsia="Arial" w:hAnsi="Arial"/>
          <w:b/>
          <w:bCs/>
          <w:color w:val="1A1A1A"/>
          <w:sz w:val="20"/>
          <w:szCs w:val="20"/>
        </w:rPr>
        <w:t xml:space="preserve">Eingabekontrolle:</w:t>
      </w:r>
      <w:r>
        <w:rPr>
          <w:rFonts w:ascii="Arial" w:cs="Arial" w:eastAsia="Arial" w:hAnsi="Arial"/>
          <w:color w:val="1A1A1A"/>
          <w:sz w:val="20"/>
          <w:szCs w:val="20"/>
        </w:rPr>
        <w:t xml:space="preserve"> Die Ergebnisse der Auslesung werden mit Zeitpunkt, Methode und Konfidenz protokolliert. Manuelle Korrekturen werden mit Zeitpunkt dokumentiert.</w:t>
      </w:r>
    </w:p>
    <w:p>
      <w:pPr>
        <w:pStyle w:val="ListParagraph"/>
        <w:numPr>
          <w:ilvl w:val="0"/>
          <w:numId w:val="2"/>
        </w:numPr>
        <w:spacing w:after="80" w:line="276"/>
        <w:jc w:val="left"/>
      </w:pPr>
      <w:r>
        <w:rPr>
          <w:rFonts w:ascii="Arial" w:cs="Arial" w:eastAsia="Arial" w:hAnsi="Arial"/>
          <w:b/>
          <w:bCs/>
          <w:color w:val="1A1A1A"/>
          <w:sz w:val="20"/>
          <w:szCs w:val="20"/>
        </w:rPr>
        <w:t xml:space="preserve">Weitergabekontrolle:</w:t>
      </w:r>
      <w:r>
        <w:rPr>
          <w:rFonts w:ascii="Arial" w:cs="Arial" w:eastAsia="Arial" w:hAnsi="Arial"/>
          <w:color w:val="1A1A1A"/>
          <w:sz w:val="20"/>
          <w:szCs w:val="20"/>
        </w:rPr>
        <w:t xml:space="preserve"> Eine Weitergabe erfolgt nur an den Auftraggeber und an die Unterauftragsverarbeiter nach Anlage 3.</w:t>
      </w:r>
    </w:p>
    <w:p>
      <w:pPr>
        <w:pStyle w:val="Heading3"/>
        <w:keepNext/>
        <w:spacing w:after="80" w:before="200"/>
      </w:pPr>
      <w:r>
        <w:rPr>
          <w:rFonts w:ascii="Arial" w:cs="Arial" w:eastAsia="Arial" w:hAnsi="Arial"/>
          <w:b/>
          <w:bCs/>
          <w:color w:val="1A1A1A"/>
          <w:sz w:val="20"/>
          <w:szCs w:val="20"/>
        </w:rPr>
        <w:t xml:space="preserve">3. Verfügbarkeit und Belastbarkeit</w:t>
      </w:r>
    </w:p>
    <w:p>
      <w:pPr>
        <w:pStyle w:val="ListParagraph"/>
        <w:numPr>
          <w:ilvl w:val="0"/>
          <w:numId w:val="2"/>
        </w:numPr>
        <w:spacing w:after="80" w:line="276"/>
        <w:jc w:val="left"/>
      </w:pPr>
      <w:r>
        <w:rPr>
          <w:rFonts w:ascii="Arial" w:cs="Arial" w:eastAsia="Arial" w:hAnsi="Arial"/>
          <w:color w:val="1A1A1A"/>
          <w:sz w:val="20"/>
          <w:szCs w:val="20"/>
        </w:rPr>
        <w:t xml:space="preserve">Die Originalbelege verbleiben beim Auftraggeber. Ein Verlust der Arbeitskopie gefährdet keine Originaldaten; eine Sicherung der Arbeitskopie außerhalb des verschlüsselten Geräts findet nicht statt.</w:t>
      </w:r>
    </w:p>
    <w:p>
      <w:pPr>
        <w:pStyle w:val="ListParagraph"/>
        <w:numPr>
          <w:ilvl w:val="0"/>
          <w:numId w:val="2"/>
        </w:numPr>
        <w:spacing w:after="80" w:line="276"/>
        <w:jc w:val="left"/>
      </w:pPr>
      <w:r>
        <w:rPr>
          <w:rFonts w:ascii="Arial" w:cs="Arial" w:eastAsia="Arial" w:hAnsi="Arial"/>
          <w:color w:val="1A1A1A"/>
          <w:sz w:val="20"/>
          <w:szCs w:val="20"/>
        </w:rPr>
        <w:t xml:space="preserve">Betriebssystem und Anwendungen werden mit aktuellen Sicherheitsupdates betrieben; Firewall und Schutz vor Schadsoftware des Betriebssystems sind aktiv.</w:t>
      </w:r>
    </w:p>
    <w:p>
      <w:pPr>
        <w:pStyle w:val="Heading3"/>
        <w:keepNext/>
        <w:spacing w:after="80" w:before="200"/>
      </w:pPr>
      <w:r>
        <w:rPr>
          <w:rFonts w:ascii="Arial" w:cs="Arial" w:eastAsia="Arial" w:hAnsi="Arial"/>
          <w:b/>
          <w:bCs/>
          <w:color w:val="1A1A1A"/>
          <w:sz w:val="20"/>
          <w:szCs w:val="20"/>
        </w:rPr>
        <w:t xml:space="preserve">4. Überprüfung und Löschung</w:t>
      </w:r>
    </w:p>
    <w:p>
      <w:pPr>
        <w:pStyle w:val="ListParagraph"/>
        <w:numPr>
          <w:ilvl w:val="0"/>
          <w:numId w:val="2"/>
        </w:numPr>
        <w:spacing w:after="80" w:line="276"/>
        <w:jc w:val="left"/>
      </w:pPr>
      <w:r>
        <w:rPr>
          <w:rFonts w:ascii="Arial" w:cs="Arial" w:eastAsia="Arial" w:hAnsi="Arial"/>
          <w:color w:val="1A1A1A"/>
          <w:sz w:val="20"/>
          <w:szCs w:val="20"/>
        </w:rPr>
        <w:t xml:space="preserve">Vor jedem Audit prüft der Auftragsverarbeiter anhand einer Checkliste, ob die Maßnahmen umgesetzt sind, und dokumentiert das Ergebnis.</w:t>
      </w:r>
    </w:p>
    <w:p>
      <w:pPr>
        <w:pStyle w:val="ListParagraph"/>
        <w:numPr>
          <w:ilvl w:val="0"/>
          <w:numId w:val="2"/>
        </w:numPr>
        <w:spacing w:after="80" w:line="276"/>
        <w:jc w:val="left"/>
      </w:pPr>
      <w:r>
        <w:rPr>
          <w:rFonts w:ascii="Arial" w:cs="Arial" w:eastAsia="Arial" w:hAnsi="Arial"/>
          <w:color w:val="1A1A1A"/>
          <w:sz w:val="20"/>
          <w:szCs w:val="20"/>
        </w:rPr>
        <w:t xml:space="preserve">Für jeden Audit wird die Löschung mit Datum und Umfang protokolliert.</w:t>
      </w:r>
    </w:p>
    <w:p>
      <w:pPr>
        <w:pStyle w:val="Heading3"/>
        <w:keepNext/>
        <w:spacing w:after="80" w:before="200"/>
      </w:pPr>
      <w:r>
        <w:rPr>
          <w:rFonts w:ascii="Arial" w:cs="Arial" w:eastAsia="Arial" w:hAnsi="Arial"/>
          <w:b/>
          <w:bCs/>
          <w:color w:val="1A1A1A"/>
          <w:sz w:val="20"/>
          <w:szCs w:val="20"/>
        </w:rPr>
        <w:t xml:space="preserve">5. Auftragskontrolle</w:t>
      </w:r>
    </w:p>
    <w:p>
      <w:pPr>
        <w:pStyle w:val="ListParagraph"/>
        <w:numPr>
          <w:ilvl w:val="0"/>
          <w:numId w:val="2"/>
        </w:numPr>
        <w:spacing w:after="80" w:line="276"/>
        <w:jc w:val="left"/>
      </w:pPr>
      <w:r>
        <w:rPr>
          <w:rFonts w:ascii="Arial" w:cs="Arial" w:eastAsia="Arial" w:hAnsi="Arial"/>
          <w:color w:val="1A1A1A"/>
          <w:sz w:val="20"/>
          <w:szCs w:val="20"/>
        </w:rPr>
        <w:t xml:space="preserve">Unterauftragsverarbeiter werden nur nach Anlage 3 und nur mit einem Vertrag nach Art. 28 DSGVO eingesetzt. Die Nutzung der Daten zum Training von Modellen ist bei allen Unterauftragsverarbeitern vertraglich ausgeschlossen.</w:t>
      </w:r>
    </w:p>
    <w:p>
      <w:pPr>
        <w:pStyle w:val="Heading1"/>
        <w:pageBreakBefore/>
        <w:spacing w:after="60"/>
      </w:pPr>
      <w:r>
        <w:rPr>
          <w:rFonts w:ascii="Arial" w:cs="Arial" w:eastAsia="Arial" w:hAnsi="Arial"/>
          <w:b/>
          <w:bCs/>
          <w:color w:val="1A1A1A"/>
          <w:sz w:val="28"/>
          <w:szCs w:val="28"/>
        </w:rPr>
        <w:t xml:space="preserve">Anlage 3</w:t>
      </w:r>
    </w:p>
    <w:p>
      <w:pPr>
        <w:pBdr>
          <w:bottom w:val="single" w:color="BFBFBF" w:sz="6" w:space="6"/>
        </w:pBdr>
        <w:spacing w:after="240"/>
      </w:pPr>
      <w:r>
        <w:rPr>
          <w:rFonts w:ascii="Arial" w:cs="Arial" w:eastAsia="Arial" w:hAnsi="Arial"/>
          <w:color w:val="5A5A5A"/>
          <w:sz w:val="20"/>
          <w:szCs w:val="20"/>
        </w:rPr>
        <w:t xml:space="preserve">Genehmigte Unterauftragsverarbeiter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850"/>
        <w:gridCol w:w="1950"/>
        <w:gridCol w:w="2550"/>
        <w:gridCol w:w="2720"/>
      </w:tblGrid>
      <w:tr>
        <w:trPr>
          <w:cantSplit/>
          <w:tblHeader/>
        </w:trPr>
        <w:tc>
          <w:tcPr>
            <w:tcW w:type="dxa" w:w="1850"/>
            <w:tcBorders>
              <w:top w:val="single" w:color="BFBFBF" w:sz="4"/>
              <w:left w:val="single" w:color="BFBFBF" w:sz="4"/>
              <w:bottom w:val="single" w:color="BFBFBF" w:sz="4"/>
              <w:right w:val="single" w:color="BFBFBF" w:sz="4"/>
            </w:tcBorders>
            <w:shd w:fill="F2F2F2" w:color="auto" w:val="clear"/>
            <w:tcMar>
              <w:top w:type="dxa" w:w="80"/>
              <w:left w:type="dxa" w:w="100"/>
              <w:bottom w:type="dxa" w:w="80"/>
              <w:right w:type="dxa" w:w="100"/>
            </w:tcMar>
          </w:tcPr>
          <w:p>
            <w:pPr>
              <w:spacing w:after="60" w:line="260"/>
              <w:jc w:val="left"/>
            </w:pPr>
            <w:r>
              <w:rPr>
                <w:rFonts w:ascii="Arial" w:cs="Arial" w:eastAsia="Arial" w:hAnsi="Arial"/>
                <w:b/>
                <w:bCs/>
                <w:color w:val="1A1A1A"/>
                <w:sz w:val="18"/>
                <w:szCs w:val="18"/>
              </w:rPr>
              <w:t xml:space="preserve">Anbieter</w:t>
            </w:r>
          </w:p>
        </w:tc>
        <w:tc>
          <w:tcPr>
            <w:tcW w:type="dxa" w:w="1950"/>
            <w:tcBorders>
              <w:top w:val="single" w:color="BFBFBF" w:sz="4"/>
              <w:left w:val="single" w:color="BFBFBF" w:sz="4"/>
              <w:bottom w:val="single" w:color="BFBFBF" w:sz="4"/>
              <w:right w:val="single" w:color="BFBFBF" w:sz="4"/>
            </w:tcBorders>
            <w:shd w:fill="F2F2F2" w:color="auto" w:val="clear"/>
            <w:tcMar>
              <w:top w:type="dxa" w:w="80"/>
              <w:left w:type="dxa" w:w="100"/>
              <w:bottom w:type="dxa" w:w="80"/>
              <w:right w:type="dxa" w:w="100"/>
            </w:tcMar>
          </w:tcPr>
          <w:p>
            <w:pPr>
              <w:spacing w:after="60" w:line="260"/>
              <w:jc w:val="left"/>
            </w:pPr>
            <w:r>
              <w:rPr>
                <w:rFonts w:ascii="Arial" w:cs="Arial" w:eastAsia="Arial" w:hAnsi="Arial"/>
                <w:b/>
                <w:bCs/>
                <w:color w:val="1A1A1A"/>
                <w:sz w:val="18"/>
                <w:szCs w:val="18"/>
              </w:rPr>
              <w:t xml:space="preserve">Leistung</w:t>
            </w:r>
          </w:p>
        </w:tc>
        <w:tc>
          <w:tcPr>
            <w:tcW w:type="dxa" w:w="2550"/>
            <w:tcBorders>
              <w:top w:val="single" w:color="BFBFBF" w:sz="4"/>
              <w:left w:val="single" w:color="BFBFBF" w:sz="4"/>
              <w:bottom w:val="single" w:color="BFBFBF" w:sz="4"/>
              <w:right w:val="single" w:color="BFBFBF" w:sz="4"/>
            </w:tcBorders>
            <w:shd w:fill="F2F2F2" w:color="auto" w:val="clear"/>
            <w:tcMar>
              <w:top w:type="dxa" w:w="80"/>
              <w:left w:type="dxa" w:w="100"/>
              <w:bottom w:type="dxa" w:w="80"/>
              <w:right w:type="dxa" w:w="100"/>
            </w:tcMar>
          </w:tcPr>
          <w:p>
            <w:pPr>
              <w:spacing w:after="60" w:line="260"/>
              <w:jc w:val="left"/>
            </w:pPr>
            <w:r>
              <w:rPr>
                <w:rFonts w:ascii="Arial" w:cs="Arial" w:eastAsia="Arial" w:hAnsi="Arial"/>
                <w:b/>
                <w:bCs/>
                <w:color w:val="1A1A1A"/>
                <w:sz w:val="18"/>
                <w:szCs w:val="18"/>
              </w:rPr>
              <w:t xml:space="preserve">Ort der Verarbeitung</w:t>
            </w:r>
          </w:p>
        </w:tc>
        <w:tc>
          <w:tcPr>
            <w:tcW w:type="dxa" w:w="2720"/>
            <w:tcBorders>
              <w:top w:val="single" w:color="BFBFBF" w:sz="4"/>
              <w:left w:val="single" w:color="BFBFBF" w:sz="4"/>
              <w:bottom w:val="single" w:color="BFBFBF" w:sz="4"/>
              <w:right w:val="single" w:color="BFBFBF" w:sz="4"/>
            </w:tcBorders>
            <w:shd w:fill="F2F2F2" w:color="auto" w:val="clear"/>
            <w:tcMar>
              <w:top w:type="dxa" w:w="80"/>
              <w:left w:type="dxa" w:w="100"/>
              <w:bottom w:type="dxa" w:w="80"/>
              <w:right w:type="dxa" w:w="100"/>
            </w:tcMar>
          </w:tcPr>
          <w:p>
            <w:pPr>
              <w:spacing w:after="60" w:line="260"/>
              <w:jc w:val="left"/>
            </w:pPr>
            <w:r>
              <w:rPr>
                <w:rFonts w:ascii="Arial" w:cs="Arial" w:eastAsia="Arial" w:hAnsi="Arial"/>
                <w:b/>
                <w:bCs/>
                <w:color w:val="1A1A1A"/>
                <w:sz w:val="18"/>
                <w:szCs w:val="18"/>
              </w:rPr>
              <w:t xml:space="preserve">Vertrag und Garantien</w:t>
            </w:r>
          </w:p>
        </w:tc>
      </w:tr>
      <w:tr>
        <w:trPr>
          <w:cantSplit/>
          <w:tblHeader w:val="false"/>
        </w:trPr>
        <w:tc>
          <w:tcPr>
            <w:tcW w:type="dxa" w:w="185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rPr>
              <w:t xml:space="preserve">STRATO GmbH</w:t>
            </w:r>
          </w:p>
          <w:p>
            <w:pPr>
              <w:spacing w:after="60" w:line="260"/>
              <w:jc w:val="left"/>
            </w:pPr>
            <w:r>
              <w:rPr>
                <w:rFonts w:ascii="Arial" w:cs="Arial" w:eastAsia="Arial" w:hAnsi="Arial"/>
                <w:color w:val="1A1A1A"/>
                <w:sz w:val="18"/>
                <w:szCs w:val="18"/>
              </w:rPr>
              <w:t xml:space="preserve">Otto-Ostrowski-Straße 7</w:t>
            </w:r>
          </w:p>
          <w:p>
            <w:pPr>
              <w:spacing w:after="60" w:line="260"/>
              <w:jc w:val="left"/>
            </w:pPr>
            <w:r>
              <w:rPr>
                <w:rFonts w:ascii="Arial" w:cs="Arial" w:eastAsia="Arial" w:hAnsi="Arial"/>
                <w:color w:val="1A1A1A"/>
                <w:sz w:val="18"/>
                <w:szCs w:val="18"/>
              </w:rPr>
              <w:t xml:space="preserve">10249 Berlin</w:t>
            </w:r>
          </w:p>
        </w:tc>
        <w:tc>
          <w:tcPr>
            <w:tcW w:type="dxa" w:w="195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rPr>
              <w:t xml:space="preserve">E-Mail: Abstimmung, Empfang verschlüsselter Belegarchive, Versand des verschlüsselten Berichts</w:t>
            </w:r>
          </w:p>
        </w:tc>
        <w:tc>
          <w:tcPr>
            <w:tcW w:type="dxa" w:w="255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rPr>
              <w:t xml:space="preserve">Deutschland</w:t>
            </w:r>
          </w:p>
        </w:tc>
        <w:tc>
          <w:tcPr>
            <w:tcW w:type="dxa" w:w="272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rPr>
              <w:t xml:space="preserve">Vertrag nach Art. 28 DSGVO als Teil der Vertrags­bedingungen von STRATO</w:t>
            </w:r>
          </w:p>
        </w:tc>
      </w:tr>
      <w:tr>
        <w:trPr>
          <w:cantSplit/>
          <w:tblHeader w:val="false"/>
        </w:trPr>
        <w:tc>
          <w:tcPr>
            <w:tcW w:type="dxa" w:w="185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rPr>
              <w:t>OpenAI Ireland Limited</w:t>
            </w:r>
          </w:p>
          <w:p>
            <w:pPr>
              <w:spacing w:after="60" w:line="260"/>
              <w:jc w:val="left"/>
            </w:pPr>
            <w:r>
              <w:rPr>
                <w:rFonts w:ascii="Arial" w:cs="Arial" w:eastAsia="Arial" w:hAnsi="Arial"/>
                <w:color w:val="1A1A1A"/>
                <w:sz w:val="18"/>
                <w:szCs w:val="18"/>
              </w:rPr>
              <w:t>1st Floor, The Liffey Trust Centre, 117–126 Sheriff Street Upper</w:t>
            </w:r>
          </w:p>
          <w:p>
            <w:pPr>
              <w:spacing w:after="60" w:line="260"/>
              <w:jc w:val="left"/>
            </w:pPr>
            <w:r>
              <w:rPr>
                <w:rFonts w:ascii="Arial" w:cs="Arial" w:eastAsia="Arial" w:hAnsi="Arial"/>
                <w:color w:val="1A1A1A"/>
                <w:sz w:val="18"/>
                <w:szCs w:val="18"/>
              </w:rPr>
              <w:t>Dublin 1, D01 YC43, Irland</w:t>
            </w:r>
          </w:p>
        </w:tc>
        <w:tc>
          <w:tcPr>
            <w:tcW w:type="dxa" w:w="195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rPr>
              <w:t>OpenAI API: automatisiertes Auslesen der Zahlungskonditionen aus dem Beleg (Text oder Bild)</w:t>
            </w:r>
          </w:p>
        </w:tc>
        <w:tc>
          <w:tcPr>
            <w:tcW w:type="dxa" w:w="255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rPr>
              <w:t>Vertragspartner mit Sitz in der EU (Irland).</w:t>
            </w:r>
          </w:p>
          <w:p>
            <w:pPr>
              <w:spacing w:after="60" w:line="260"/>
              <w:jc w:val="left"/>
            </w:pPr>
            <w:r>
              <w:rPr>
                <w:rFonts w:ascii="Arial" w:cs="Arial" w:eastAsia="Arial" w:hAnsi="Arial"/>
                <w:color w:val="1A1A1A"/>
                <w:sz w:val="18"/>
                <w:szCs w:val="18"/>
              </w:rPr>
              <w:t>Die Verarbeitung durch OpenAI, L.L.C. als weiteren Unterauftragsverarbeiter kann in den USA stattfinden.</w:t>
            </w:r>
          </w:p>
        </w:tc>
        <w:tc>
          <w:tcPr>
            <w:tcW w:type="dxa" w:w="272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rPr>
              <w:t>OpenAI Data Processing Addendum nach Art. 28 DSGVO. Über die API übermittelte Daten werden nicht zum Training genutzt.</w:t>
            </w:r>
          </w:p>
          <w:p>
            <w:pPr>
              <w:spacing w:after="60" w:line="260"/>
              <w:jc w:val="left"/>
            </w:pPr>
            <w:r>
              <w:rPr>
                <w:rFonts w:ascii="Arial" w:cs="Arial" w:eastAsia="Arial" w:hAnsi="Arial"/>
                <w:color w:val="1A1A1A"/>
                <w:sz w:val="18"/>
                <w:szCs w:val="18"/>
              </w:rPr>
              <w:t>Für die Übermittlung in die USA: EU-US Data Privacy Framework (Art. 45 DSGVO) und Standardvertragsklauseln (Art. 46 Abs. 2 lit. c DSGVO).</w:t>
            </w:r>
          </w:p>
          <w:p>
            <w:pPr>
              <w:spacing w:after="60" w:line="260"/>
              <w:jc w:val="left"/>
            </w:pPr>
            <w:r>
              <w:rPr>
                <w:rFonts w:ascii="Arial" w:cs="Arial" w:eastAsia="Arial" w:hAnsi="Arial"/>
                <w:color w:val="1A1A1A"/>
                <w:sz w:val="18"/>
                <w:szCs w:val="18"/>
              </w:rPr>
              <w:t>Eingaben und Ausgaben können zur Missbrauchserkennung bis zu 30 Tage gespeichert und danach gelöscht werden.</w:t>
            </w:r>
          </w:p>
        </w:tc>
      </w:tr>
    </w:tbl>
    <w:p>
      <w:pPr>
        <w:spacing w:after="120" w:before="200" w:line="276"/>
        <w:jc w:val="both"/>
      </w:pPr>
      <w:r>
        <w:rPr>
          <w:rFonts w:ascii="Arial" w:cs="Arial" w:eastAsia="Arial" w:hAnsi="Arial"/>
          <w:color w:val="1A1A1A"/>
          <w:sz w:val="20"/>
          <w:szCs w:val="20"/>
        </w:rPr>
        <w:t xml:space="preserve">Weitere Unterauftragsverarbeiter setzt der Auftragsverarbeiter nicht ein.</w:t>
      </w:r>
    </w:p>
    <w:p>
      <w:pPr>
        <w:pStyle w:val="Heading1"/>
        <w:pageBreakBefore/>
        <w:spacing w:after="60"/>
      </w:pPr>
      <w:r>
        <w:rPr>
          <w:rFonts w:ascii="Arial" w:cs="Arial" w:eastAsia="Arial" w:hAnsi="Arial"/>
          <w:b/>
          <w:bCs/>
          <w:color w:val="1A1A1A"/>
          <w:sz w:val="28"/>
          <w:szCs w:val="28"/>
        </w:rPr>
        <w:t xml:space="preserve">Anlage 4</w:t>
      </w:r>
    </w:p>
    <w:p>
      <w:pPr>
        <w:pBdr>
          <w:bottom w:val="single" w:color="BFBFBF" w:sz="6" w:space="6"/>
        </w:pBdr>
        <w:spacing w:after="240"/>
      </w:pPr>
      <w:r>
        <w:rPr>
          <w:rFonts w:ascii="Arial" w:cs="Arial" w:eastAsia="Arial" w:hAnsi="Arial"/>
          <w:color w:val="5A5A5A"/>
          <w:sz w:val="20"/>
          <w:szCs w:val="20"/>
        </w:rPr>
        <w:t xml:space="preserve">Weisungsberechtigte Personen und Ansprechpartner</w:t>
      </w:r>
    </w:p>
    <w:p>
      <w:pPr>
        <w:pStyle w:val="Heading3"/>
        <w:keepNext/>
        <w:spacing w:after="80" w:before="200"/>
      </w:pPr>
      <w:r>
        <w:rPr>
          <w:rFonts w:ascii="Arial" w:cs="Arial" w:eastAsia="Arial" w:hAnsi="Arial"/>
          <w:b/>
          <w:bCs/>
          <w:color w:val="1A1A1A"/>
          <w:sz w:val="20"/>
          <w:szCs w:val="20"/>
        </w:rPr>
        <w:t xml:space="preserve">Auftraggeber</w:t>
      </w:r>
    </w:p>
    <w:tbl>
      <w:tblPr>
        <w:tblW w:type="dxa" w:w="9060"/>
        <w:tblBorders>
          <w:top w:val="single" w:color="auto" w:sz="4"/>
          <w:left w:val="single" w:color="auto" w:sz="4"/>
          <w:bottom w:val="single" w:color="auto" w:sz="4"/>
          <w:right w:val="single" w:color="auto" w:sz="4"/>
          <w:insideH w:val="single" w:color="auto" w:sz="4"/>
          <w:insideV w:val="single" w:color="auto" w:sz="4"/>
        </w:tblBorders>
      </w:tblPr>
      <w:tblGrid>
        <w:gridCol w:w="2800"/>
        <w:gridCol w:w="3100"/>
        <w:gridCol w:w="3160"/>
      </w:tblGrid>
      <w:tr>
        <w:trPr>
          <w:cantSplit/>
          <w:tblHeader/>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00"/>
              <w:bottom w:type="dxa" w:w="80"/>
              <w:right w:type="dxa" w:w="100"/>
            </w:tcMar>
          </w:tcPr>
          <w:p>
            <w:pPr>
              <w:spacing w:after="60" w:line="260"/>
              <w:jc w:val="left"/>
            </w:pPr>
            <w:r>
              <w:rPr>
                <w:rFonts w:ascii="Arial" w:cs="Arial" w:eastAsia="Arial" w:hAnsi="Arial"/>
                <w:b/>
                <w:bCs/>
                <w:color w:val="1A1A1A"/>
                <w:sz w:val="18"/>
                <w:szCs w:val="18"/>
              </w:rPr>
              <w:t xml:space="preserve">Name</w:t>
            </w:r>
          </w:p>
        </w:tc>
        <w:tc>
          <w:tcPr>
            <w:tcW w:type="dxa" w:w="3100"/>
            <w:tcBorders>
              <w:top w:val="single" w:color="BFBFBF" w:sz="4"/>
              <w:left w:val="single" w:color="BFBFBF" w:sz="4"/>
              <w:bottom w:val="single" w:color="BFBFBF" w:sz="4"/>
              <w:right w:val="single" w:color="BFBFBF" w:sz="4"/>
            </w:tcBorders>
            <w:shd w:fill="F2F2F2" w:color="auto" w:val="clear"/>
            <w:tcMar>
              <w:top w:type="dxa" w:w="80"/>
              <w:left w:type="dxa" w:w="100"/>
              <w:bottom w:type="dxa" w:w="80"/>
              <w:right w:type="dxa" w:w="100"/>
            </w:tcMar>
          </w:tcPr>
          <w:p>
            <w:pPr>
              <w:spacing w:after="60" w:line="260"/>
              <w:jc w:val="left"/>
            </w:pPr>
            <w:r>
              <w:rPr>
                <w:rFonts w:ascii="Arial" w:cs="Arial" w:eastAsia="Arial" w:hAnsi="Arial"/>
                <w:b/>
                <w:bCs/>
                <w:color w:val="1A1A1A"/>
                <w:sz w:val="18"/>
                <w:szCs w:val="18"/>
              </w:rPr>
              <w:t xml:space="preserve">Funktion</w:t>
            </w:r>
          </w:p>
        </w:tc>
        <w:tc>
          <w:tcPr>
            <w:tcW w:type="dxa" w:w="3160"/>
            <w:tcBorders>
              <w:top w:val="single" w:color="BFBFBF" w:sz="4"/>
              <w:left w:val="single" w:color="BFBFBF" w:sz="4"/>
              <w:bottom w:val="single" w:color="BFBFBF" w:sz="4"/>
              <w:right w:val="single" w:color="BFBFBF" w:sz="4"/>
            </w:tcBorders>
            <w:shd w:fill="F2F2F2" w:color="auto" w:val="clear"/>
            <w:tcMar>
              <w:top w:type="dxa" w:w="80"/>
              <w:left w:type="dxa" w:w="100"/>
              <w:bottom w:type="dxa" w:w="80"/>
              <w:right w:type="dxa" w:w="100"/>
            </w:tcMar>
          </w:tcPr>
          <w:p>
            <w:pPr>
              <w:spacing w:after="60" w:line="260"/>
              <w:jc w:val="left"/>
            </w:pPr>
            <w:r>
              <w:rPr>
                <w:rFonts w:ascii="Arial" w:cs="Arial" w:eastAsia="Arial" w:hAnsi="Arial"/>
                <w:b/>
                <w:bCs/>
                <w:color w:val="1A1A1A"/>
                <w:sz w:val="18"/>
                <w:szCs w:val="18"/>
              </w:rPr>
              <w:t xml:space="preserve">E-Mail und Telefon</w:t>
            </w:r>
          </w:p>
        </w:tc>
      </w:tr>
      <w:tr>
        <w:trPr>
          <w:cantSplit/>
          <w:tblHeader w:val="false"/>
        </w:trPr>
        <w:tc>
          <w:tcPr>
            <w:tcW w:type="dxa" w:w="280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highlight w:val="yellow"/>
                <w:highlightCs w:val="yellow"/>
              </w:rPr>
              <w:t xml:space="preserve">[Name]</w:t>
            </w:r>
          </w:p>
        </w:tc>
        <w:tc>
          <w:tcPr>
            <w:tcW w:type="dxa" w:w="310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highlight w:val="yellow"/>
                <w:highlightCs w:val="yellow"/>
              </w:rPr>
              <w:t xml:space="preserve">[Funktion]</w:t>
            </w:r>
          </w:p>
        </w:tc>
        <w:tc>
          <w:tcPr>
            <w:tcW w:type="dxa" w:w="316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highlight w:val="yellow"/>
                <w:highlightCs w:val="yellow"/>
              </w:rPr>
              <w:t xml:space="preserve">[E-Mail, Telefon]</w:t>
            </w:r>
          </w:p>
        </w:tc>
      </w:tr>
      <w:tr>
        <w:trPr>
          <w:cantSplit/>
          <w:tblHeader w:val="false"/>
        </w:trPr>
        <w:tc>
          <w:tcPr>
            <w:tcW w:type="dxa" w:w="280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highlight w:val="yellow"/>
                <w:highlightCs w:val="yellow"/>
              </w:rPr>
              <w:t xml:space="preserve">[Name]</w:t>
            </w:r>
          </w:p>
        </w:tc>
        <w:tc>
          <w:tcPr>
            <w:tcW w:type="dxa" w:w="310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highlight w:val="yellow"/>
                <w:highlightCs w:val="yellow"/>
              </w:rPr>
              <w:t xml:space="preserve">[Funktion]</w:t>
            </w:r>
          </w:p>
        </w:tc>
        <w:tc>
          <w:tcPr>
            <w:tcW w:type="dxa" w:w="316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highlight w:val="yellow"/>
                <w:highlightCs w:val="yellow"/>
              </w:rPr>
              <w:t xml:space="preserve">[E-Mail, Telefon]</w:t>
            </w:r>
          </w:p>
        </w:tc>
      </w:tr>
    </w:tbl>
    <w:p>
      <w:pPr>
        <w:pStyle w:val="Heading3"/>
        <w:keepNext/>
        <w:spacing w:after="80" w:before="200"/>
      </w:pPr>
      <w:r>
        <w:rPr>
          <w:rFonts w:ascii="Arial" w:cs="Arial" w:eastAsia="Arial" w:hAnsi="Arial"/>
          <w:b/>
          <w:bCs/>
          <w:color w:val="1A1A1A"/>
          <w:sz w:val="20"/>
          <w:szCs w:val="20"/>
        </w:rPr>
        <w:t xml:space="preserve">Auftragsverarbeiter</w:t>
      </w:r>
    </w:p>
    <w:tbl>
      <w:tblPr>
        <w:tblW w:type="dxa" w:w="9060"/>
        <w:tblBorders>
          <w:top w:val="single" w:color="auto" w:sz="4"/>
          <w:left w:val="single" w:color="auto" w:sz="4"/>
          <w:bottom w:val="single" w:color="auto" w:sz="4"/>
          <w:right w:val="single" w:color="auto" w:sz="4"/>
          <w:insideH w:val="single" w:color="auto" w:sz="4"/>
          <w:insideV w:val="single" w:color="auto" w:sz="4"/>
        </w:tblBorders>
      </w:tblPr>
      <w:tblGrid>
        <w:gridCol w:w="2800"/>
        <w:gridCol w:w="3100"/>
        <w:gridCol w:w="3160"/>
      </w:tblGrid>
      <w:tr>
        <w:trPr>
          <w:cantSplit/>
          <w:tblHeader/>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00"/>
              <w:bottom w:type="dxa" w:w="80"/>
              <w:right w:type="dxa" w:w="100"/>
            </w:tcMar>
          </w:tcPr>
          <w:p>
            <w:pPr>
              <w:spacing w:after="60" w:line="260"/>
              <w:jc w:val="left"/>
            </w:pPr>
            <w:r>
              <w:rPr>
                <w:rFonts w:ascii="Arial" w:cs="Arial" w:eastAsia="Arial" w:hAnsi="Arial"/>
                <w:b/>
                <w:bCs/>
                <w:color w:val="1A1A1A"/>
                <w:sz w:val="18"/>
                <w:szCs w:val="18"/>
              </w:rPr>
              <w:t xml:space="preserve">Name</w:t>
            </w:r>
          </w:p>
        </w:tc>
        <w:tc>
          <w:tcPr>
            <w:tcW w:type="dxa" w:w="3100"/>
            <w:tcBorders>
              <w:top w:val="single" w:color="BFBFBF" w:sz="4"/>
              <w:left w:val="single" w:color="BFBFBF" w:sz="4"/>
              <w:bottom w:val="single" w:color="BFBFBF" w:sz="4"/>
              <w:right w:val="single" w:color="BFBFBF" w:sz="4"/>
            </w:tcBorders>
            <w:shd w:fill="F2F2F2" w:color="auto" w:val="clear"/>
            <w:tcMar>
              <w:top w:type="dxa" w:w="80"/>
              <w:left w:type="dxa" w:w="100"/>
              <w:bottom w:type="dxa" w:w="80"/>
              <w:right w:type="dxa" w:w="100"/>
            </w:tcMar>
          </w:tcPr>
          <w:p>
            <w:pPr>
              <w:spacing w:after="60" w:line="260"/>
              <w:jc w:val="left"/>
            </w:pPr>
            <w:r>
              <w:rPr>
                <w:rFonts w:ascii="Arial" w:cs="Arial" w:eastAsia="Arial" w:hAnsi="Arial"/>
                <w:b/>
                <w:bCs/>
                <w:color w:val="1A1A1A"/>
                <w:sz w:val="18"/>
                <w:szCs w:val="18"/>
              </w:rPr>
              <w:t xml:space="preserve">Funktion</w:t>
            </w:r>
          </w:p>
        </w:tc>
        <w:tc>
          <w:tcPr>
            <w:tcW w:type="dxa" w:w="3160"/>
            <w:tcBorders>
              <w:top w:val="single" w:color="BFBFBF" w:sz="4"/>
              <w:left w:val="single" w:color="BFBFBF" w:sz="4"/>
              <w:bottom w:val="single" w:color="BFBFBF" w:sz="4"/>
              <w:right w:val="single" w:color="BFBFBF" w:sz="4"/>
            </w:tcBorders>
            <w:shd w:fill="F2F2F2" w:color="auto" w:val="clear"/>
            <w:tcMar>
              <w:top w:type="dxa" w:w="80"/>
              <w:left w:type="dxa" w:w="100"/>
              <w:bottom w:type="dxa" w:w="80"/>
              <w:right w:type="dxa" w:w="100"/>
            </w:tcMar>
          </w:tcPr>
          <w:p>
            <w:pPr>
              <w:spacing w:after="60" w:line="260"/>
              <w:jc w:val="left"/>
            </w:pPr>
            <w:r>
              <w:rPr>
                <w:rFonts w:ascii="Arial" w:cs="Arial" w:eastAsia="Arial" w:hAnsi="Arial"/>
                <w:b/>
                <w:bCs/>
                <w:color w:val="1A1A1A"/>
                <w:sz w:val="18"/>
                <w:szCs w:val="18"/>
              </w:rPr>
              <w:t xml:space="preserve">E-Mail und Telefon</w:t>
            </w:r>
          </w:p>
        </w:tc>
      </w:tr>
      <w:tr>
        <w:trPr>
          <w:cantSplit/>
          <w:tblHeader w:val="false"/>
        </w:trPr>
        <w:tc>
          <w:tcPr>
            <w:tcW w:type="dxa" w:w="280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rPr>
              <w:t xml:space="preserve">Arian Kabiri</w:t>
            </w:r>
          </w:p>
        </w:tc>
        <w:tc>
          <w:tcPr>
            <w:tcW w:type="dxa" w:w="310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rPr>
              <w:t xml:space="preserve">Inhaber, Durchführung des Audits</w:t>
            </w:r>
          </w:p>
        </w:tc>
        <w:tc>
          <w:tcPr>
            <w:tcW w:type="dxa" w:w="3160"/>
            <w:tcBorders>
              <w:top w:val="single" w:color="BFBFBF" w:sz="4"/>
              <w:left w:val="single" w:color="BFBFBF" w:sz="4"/>
              <w:bottom w:val="single" w:color="BFBFBF" w:sz="4"/>
              <w:right w:val="single" w:color="BFBFBF" w:sz="4"/>
            </w:tcBorders>
            <w:tcMar>
              <w:top w:type="dxa" w:w="80"/>
              <w:left w:type="dxa" w:w="100"/>
              <w:bottom w:type="dxa" w:w="80"/>
              <w:right w:type="dxa" w:w="100"/>
            </w:tcMar>
          </w:tcPr>
          <w:p>
            <w:pPr>
              <w:spacing w:after="60" w:line="260"/>
              <w:jc w:val="left"/>
            </w:pPr>
            <w:r>
              <w:rPr>
                <w:rFonts w:ascii="Arial" w:cs="Arial" w:eastAsia="Arial" w:hAnsi="Arial"/>
                <w:color w:val="1A1A1A"/>
                <w:sz w:val="18"/>
                <w:szCs w:val="18"/>
              </w:rPr>
              <w:t xml:space="preserve">arian.kabiri@akfin.eu</w:t>
            </w:r>
          </w:p>
          <w:p>
            <w:pPr>
              <w:spacing w:after="60" w:line="260"/>
              <w:jc w:val="left"/>
            </w:pPr>
            <w:r>
              <w:rPr>
                <w:rFonts w:ascii="Arial" w:cs="Arial" w:eastAsia="Arial" w:hAnsi="Arial"/>
                <w:color w:val="1A1A1A"/>
                <w:sz w:val="18"/>
                <w:szCs w:val="18"/>
                <w:highlightCs w:val="yellow"/>
              </w:rPr>
              <w:t>+49 170 8259011</w:t>
            </w:r>
          </w:p>
        </w:tc>
      </w:tr>
    </w:tbl>
    <w:p>
      <w:pPr>
        <w:spacing w:after="120" w:before="200" w:line="276"/>
        <w:jc w:val="both"/>
      </w:pPr>
      <w:r>
        <w:rPr>
          <w:rFonts w:ascii="Arial" w:cs="Arial" w:eastAsia="Arial" w:hAnsi="Arial"/>
          <w:color w:val="1A1A1A"/>
          <w:sz w:val="20"/>
          <w:szCs w:val="20"/>
        </w:rPr>
        <w:t xml:space="preserve">Einen Datenschutzbeauftragten hat der Auftragsverarbeiter nicht benannt, weil dafür keine gesetzliche Pflicht besteht (Art. 37 DSGVO, § 38 BDSG).</w:t>
      </w:r>
    </w:p>
    <w:sectPr>
      <w:headerReference w:type="default" r:id="rId7"/>
      <w:footerReference w:type="default" r:id="rId8"/>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A5A5A"/>
        <w:sz w:val="20"/>
        <w:szCs w:val="20"/>
      </w:rPr>
      <w:t xml:space="preserve">Seite </w:t>
    </w:r>
    <w:r>
      <w:rPr>
        <w:rFonts w:ascii="Arial" w:cs="Arial" w:eastAsia="Arial" w:hAnsi="Arial"/>
        <w:color w:val="5A5A5A"/>
        <w:sz w:val="20"/>
        <w:szCs w:val="20"/>
      </w:rPr>
      <w:fldChar w:fldCharType="begin"/>
      <w:instrText xml:space="preserve">PAGE</w:instrText>
      <w:fldChar w:fldCharType="separate"/>
      <w:fldChar w:fldCharType="end"/>
    </w:r>
    <w:r>
      <w:rPr>
        <w:rFonts w:ascii="Arial" w:cs="Arial" w:eastAsia="Arial" w:hAnsi="Arial"/>
        <w:color w:val="5A5A5A"/>
        <w:sz w:val="20"/>
        <w:szCs w:val="20"/>
      </w:rPr>
      <w:t xml:space="preserve"> von </w:t>
    </w:r>
    <w:r>
      <w:rPr>
        <w:rFonts w:ascii="Arial" w:cs="Arial" w:eastAsia="Arial" w:hAnsi="Arial"/>
        <w:color w:val="5A5A5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A5A5A"/>
        <w:sz w:val="16"/>
        <w:szCs w:val="16"/>
      </w:rPr>
      <w:t xml:space="preserve">AKFIN · Auftragsverarbeitungsvertrag S1-Audit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5"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Auftragsverarbeitungsvertrag S1-Audit</dc:title>
  <dc:creator>AKFIN</dc:creator>
  <dc:description>Vertrag nach Art. 28 DSGVO für die Durchführung des S1-Audits</dc:description>
  <cp:lastModifiedBy>Un-named</cp:lastModifiedBy>
  <cp:revision>1</cp:revision>
  <dcterms:created xsi:type="dcterms:W3CDTF">2026-09-26T15:21:17.480Z</dcterms:created>
  <dcterms:modified xsi:type="dcterms:W3CDTF">2026-09-26T15:21:17.480Z</dcterms:modified>
</cp:coreProperties>
</file>

<file path=docProps/custom.xml><?xml version="1.0" encoding="utf-8"?>
<Properties xmlns="http://schemas.openxmlformats.org/officeDocument/2006/custom-properties" xmlns:vt="http://schemas.openxmlformats.org/officeDocument/2006/docPropsVTypes"/>
</file>